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38" w:rsidRPr="00AB36CC" w:rsidRDefault="001B12E0" w:rsidP="002167D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40 </w:t>
      </w:r>
      <w:bookmarkStart w:id="0" w:name="_GoBack"/>
      <w:bookmarkEnd w:id="0"/>
      <w:r w:rsidR="002167DE" w:rsidRPr="00AB36CC">
        <w:rPr>
          <w:rFonts w:ascii="Times New Roman" w:hAnsi="Times New Roman" w:cs="Times New Roman"/>
          <w:b/>
          <w:sz w:val="24"/>
          <w:szCs w:val="24"/>
          <w:u w:val="single"/>
        </w:rPr>
        <w:t xml:space="preserve">ARTICULOS DEL PND QUE </w:t>
      </w:r>
      <w:r w:rsidR="002167DE" w:rsidRPr="00AB36CC">
        <w:rPr>
          <w:rFonts w:ascii="Times New Roman" w:hAnsi="Times New Roman" w:cs="Times New Roman"/>
          <w:b/>
          <w:sz w:val="24"/>
          <w:szCs w:val="24"/>
          <w:u w:val="single"/>
        </w:rPr>
        <w:t>ESTABLECEN QUE</w:t>
      </w:r>
      <w:r w:rsidR="002167DE" w:rsidRPr="00AB36CC">
        <w:rPr>
          <w:rFonts w:ascii="Times New Roman" w:hAnsi="Times New Roman" w:cs="Times New Roman"/>
          <w:b/>
          <w:sz w:val="24"/>
          <w:szCs w:val="24"/>
          <w:u w:val="single"/>
        </w:rPr>
        <w:t xml:space="preserve"> </w:t>
      </w:r>
      <w:r w:rsidR="002167DE" w:rsidRPr="00AB36CC">
        <w:rPr>
          <w:rFonts w:ascii="Times New Roman" w:hAnsi="Times New Roman" w:cs="Times New Roman"/>
          <w:b/>
          <w:sz w:val="24"/>
          <w:szCs w:val="24"/>
          <w:u w:val="single"/>
        </w:rPr>
        <w:t xml:space="preserve">DETERMINADA </w:t>
      </w:r>
      <w:r w:rsidR="002167DE" w:rsidRPr="00AB36CC">
        <w:rPr>
          <w:rFonts w:ascii="Times New Roman" w:hAnsi="Times New Roman" w:cs="Times New Roman"/>
          <w:b/>
          <w:sz w:val="24"/>
          <w:szCs w:val="24"/>
          <w:u w:val="single"/>
        </w:rPr>
        <w:t>MATERIA SE</w:t>
      </w:r>
      <w:r w:rsidR="002167DE" w:rsidRPr="00AB36CC">
        <w:rPr>
          <w:rFonts w:ascii="Times New Roman" w:hAnsi="Times New Roman" w:cs="Times New Roman"/>
          <w:b/>
          <w:sz w:val="24"/>
          <w:szCs w:val="24"/>
          <w:u w:val="single"/>
        </w:rPr>
        <w:t>RA</w:t>
      </w:r>
      <w:r w:rsidR="002167DE" w:rsidRPr="00AB36CC">
        <w:rPr>
          <w:rFonts w:ascii="Times New Roman" w:hAnsi="Times New Roman" w:cs="Times New Roman"/>
          <w:b/>
          <w:sz w:val="24"/>
          <w:szCs w:val="24"/>
          <w:u w:val="single"/>
        </w:rPr>
        <w:t xml:space="preserve"> REGLAMENTARA POR EL GOBIERNO</w:t>
      </w:r>
    </w:p>
    <w:p w:rsidR="002167DE" w:rsidRPr="00AB36CC" w:rsidRDefault="002167DE" w:rsidP="002167DE">
      <w:pPr>
        <w:jc w:val="center"/>
        <w:rPr>
          <w:rFonts w:ascii="Times New Roman" w:hAnsi="Times New Roman" w:cs="Times New Roman"/>
          <w:b/>
          <w:sz w:val="24"/>
          <w:szCs w:val="24"/>
          <w:u w:val="single"/>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7°. RÉGIMEN DE ADJUDICACIÓN EN ÁREAS DE RESERVA FORESTAL.</w:t>
      </w:r>
      <w:r w:rsidRPr="00AB36CC">
        <w:rPr>
          <w:rFonts w:ascii="Times New Roman" w:hAnsi="Times New Roman" w:cs="Times New Roman"/>
          <w:sz w:val="24"/>
          <w:szCs w:val="24"/>
          <w:lang w:val="es-CO"/>
        </w:rPr>
        <w:t xml:space="preserve"> Modifíquese el artículo 209 del Decreto Ley 2811 de 1974, el cual quedará así: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ARTÍCULO 209. RÉGIMEN DE ADJUDICACIÓN EN ÁREAS DE RESERVA FORESTAL. No podrán ser adjudicados los baldíos de las áreas de reserva forestal, salvo aquellos </w:t>
      </w:r>
      <w:proofErr w:type="gramStart"/>
      <w:r w:rsidRPr="00AB36CC">
        <w:rPr>
          <w:rFonts w:ascii="Times New Roman" w:hAnsi="Times New Roman" w:cs="Times New Roman"/>
          <w:sz w:val="24"/>
          <w:szCs w:val="24"/>
        </w:rPr>
        <w:t>que</w:t>
      </w:r>
      <w:proofErr w:type="gramEnd"/>
      <w:r w:rsidRPr="00AB36CC">
        <w:rPr>
          <w:rFonts w:ascii="Times New Roman" w:hAnsi="Times New Roman" w:cs="Times New Roman"/>
          <w:sz w:val="24"/>
          <w:szCs w:val="24"/>
        </w:rPr>
        <w:t xml:space="preserve"> a consideración del Gobierno nacional, previo concepto favorable del Ministerio de Ambiente y Desarrollo Sostenible, puedan ser objeto de adjudicación conforme al artículo 7 de la Ley 2 de 1959 para destinarlos al aprovechamiento racional y sostenible de los bosques, en los cuales se constituyan reservas conforme lo dispuesto por el artículo 76 de la Ley 160 de 1994.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Serán beneficiarios del régimen de titulación del que trata este artículo, quienes cumpliendo con los requisitos previstos para el efecto por el Decreto Ley 902 de 2017, además ostenten las siguientes condiciones: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1) Hombres y mujeres campesinos que no sean propietarios de tierras y que tengan tradición en las labores rurales;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2) Que se hallen en condiciones de pobreza y marginalidad y deriven de las actividades agropecuarias la mayor parte de sus ingresos;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3) Que ejerzan sobre bienes baldíos ubicados en zonas de especial importancia ecológica una ocupación de al menos cinco (5) años a la entrada en vigencia de la presente Ley.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También serán </w:t>
      </w:r>
      <w:proofErr w:type="spellStart"/>
      <w:r w:rsidRPr="00AB36CC">
        <w:rPr>
          <w:rFonts w:ascii="Times New Roman" w:hAnsi="Times New Roman" w:cs="Times New Roman"/>
          <w:sz w:val="24"/>
          <w:szCs w:val="24"/>
        </w:rPr>
        <w:t>adjudicables</w:t>
      </w:r>
      <w:proofErr w:type="spellEnd"/>
      <w:r w:rsidRPr="00AB36CC">
        <w:rPr>
          <w:rFonts w:ascii="Times New Roman" w:hAnsi="Times New Roman" w:cs="Times New Roman"/>
          <w:sz w:val="24"/>
          <w:szCs w:val="24"/>
        </w:rPr>
        <w:t xml:space="preserve"> a las entidades públicas, previo concepto favorable del Ministerio de Ambiente y Desarrollo Sostenible, aquellos bienes inmuebles necesarios para la construcción o mantenimiento de instalaciones públicas rurales para la prestación de bienes y servicios públicos básicos.</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xml:space="preserve"> Podrá constituirse reserva sobre los bienes baldíos en áreas de reserva forestal, de conformidad con lo dispuesto en la Ley 2 de 1959, previo concepto favorable del Ministerio de Ambiente y Desarrollo Sostenible, para establecer el régimen especial de que trata el artículo 76 de la Ley 160 de 1994, los cuales solo podrán destinarse al aprovechamiento racional y sostenible de los bosques o a los procesos de restauración y recuperación de los mismos.</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y establecerá las condiciones de la adjudicación.</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12°. AUTORIZACIÓN AMBIENTAL PARA PLANTAS DE PROCESAMIENTO MÓVILES PARA LA OBTENCIÓN DE ORO LIBRE DE MERCURIO.</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 xml:space="preserve">El Gobierno nacional a través del Ministerio de Ambiente y Desarrollo </w:t>
      </w:r>
      <w:r w:rsidRPr="00AB36CC">
        <w:rPr>
          <w:rFonts w:ascii="Times New Roman" w:hAnsi="Times New Roman" w:cs="Times New Roman"/>
          <w:sz w:val="24"/>
          <w:szCs w:val="24"/>
          <w:highlight w:val="yellow"/>
        </w:rPr>
        <w:lastRenderedPageBreak/>
        <w:t>Sostenible reglamentará</w:t>
      </w:r>
      <w:r w:rsidRPr="00AB36CC">
        <w:rPr>
          <w:rFonts w:ascii="Times New Roman" w:hAnsi="Times New Roman" w:cs="Times New Roman"/>
          <w:sz w:val="24"/>
          <w:szCs w:val="24"/>
        </w:rPr>
        <w:t xml:space="preserve"> la autorización ambiental diferencial para la operación de plantas de procesamiento móviles para la obtención de oro libre de mercurio. En la reglamentación se deberá tener en cuenta entre otras cosas, el uso de los recursos naturales renovables que se requieren para el proceso de beneficio, la duración de la misma, velando por conservar el ambiente.</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14º. TRATAMIENTO DE AGUAS RESIDUALES.</w:t>
      </w:r>
      <w:r w:rsidRPr="00AB36CC">
        <w:rPr>
          <w:rFonts w:ascii="Times New Roman" w:hAnsi="Times New Roman" w:cs="Times New Roman"/>
          <w:sz w:val="24"/>
          <w:szCs w:val="24"/>
          <w:lang w:val="es-CO"/>
        </w:rPr>
        <w:t xml:space="preserve"> Los prestadores de alcantarillado estarán en la obligación de permitir la conexión de las redes de recolección a las plantas de tratamiento de aguas residuales de otros prestadores y de facturar esta actividad en la tarifa a los usuarios, siempre que la solución represente menores costos de operación, administración, mantenimiento e inversión a los que pueda presentar el prestador del servicio de alcantarillado. </w:t>
      </w:r>
      <w:r w:rsidRPr="00AB36CC">
        <w:rPr>
          <w:rFonts w:ascii="Times New Roman" w:hAnsi="Times New Roman" w:cs="Times New Roman"/>
          <w:sz w:val="24"/>
          <w:szCs w:val="24"/>
          <w:highlight w:val="yellow"/>
          <w:lang w:val="es-CO"/>
        </w:rPr>
        <w:t>El Gobierno nacional reglamentará la materia.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Adicionalmente, la disposición de residuos líquidos no domésticos a la red de alcantarillado sin tratamiento podrá ser contratada entre el suscriptor y/o usuario y el prestador del servicio público domiciliario de alcantarillado siempre y cuando este último tenga la capacidad en términos de infraestructura   </w:t>
      </w:r>
      <w:proofErr w:type="gramStart"/>
      <w:r w:rsidRPr="00AB36CC">
        <w:rPr>
          <w:rFonts w:ascii="Times New Roman" w:hAnsi="Times New Roman" w:cs="Times New Roman"/>
          <w:sz w:val="24"/>
          <w:szCs w:val="24"/>
        </w:rPr>
        <w:t>y  tecnología</w:t>
      </w:r>
      <w:proofErr w:type="gramEnd"/>
      <w:r w:rsidRPr="00AB36CC">
        <w:rPr>
          <w:rFonts w:ascii="Times New Roman" w:hAnsi="Times New Roman" w:cs="Times New Roman"/>
          <w:sz w:val="24"/>
          <w:szCs w:val="24"/>
        </w:rPr>
        <w:t xml:space="preserve"> para cumplir  con los parámetros  y los valores límites máximos permisibles en los vertimientos puntuales.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rPr>
        <w:t xml:space="preserve">ARTÍCULO </w:t>
      </w:r>
      <w:r w:rsidRPr="00AB36CC">
        <w:rPr>
          <w:rFonts w:ascii="Times New Roman" w:hAnsi="Times New Roman" w:cs="Times New Roman"/>
          <w:b/>
          <w:sz w:val="24"/>
          <w:szCs w:val="24"/>
          <w:lang w:val="es-ES"/>
        </w:rPr>
        <w:t>19</w:t>
      </w:r>
      <w:r w:rsidRPr="00AB36CC">
        <w:rPr>
          <w:rFonts w:ascii="Times New Roman" w:hAnsi="Times New Roman" w:cs="Times New Roman"/>
          <w:b/>
          <w:sz w:val="24"/>
          <w:szCs w:val="24"/>
        </w:rPr>
        <w:t>°. CONTRIBUCIONES ESPECIALES A FAVOR DE LA COMISIÓN DE REGULACIÓN DE ENERGÍA Y GAS -</w:t>
      </w:r>
      <w:r w:rsidRPr="00AB36CC">
        <w:rPr>
          <w:rFonts w:ascii="Times New Roman" w:hAnsi="Times New Roman" w:cs="Times New Roman"/>
          <w:b/>
          <w:sz w:val="24"/>
          <w:szCs w:val="24"/>
          <w:lang w:val="es-ES"/>
        </w:rPr>
        <w:t xml:space="preserve"> </w:t>
      </w:r>
      <w:r w:rsidRPr="00AB36CC">
        <w:rPr>
          <w:rFonts w:ascii="Times New Roman" w:hAnsi="Times New Roman" w:cs="Times New Roman"/>
          <w:b/>
          <w:sz w:val="24"/>
          <w:szCs w:val="24"/>
        </w:rPr>
        <w:t>CREG, DE LA COMISIÓN DE REGULACIÓN DE AGUA POTABLE Y SANEAMIENTO BÁSICO</w:t>
      </w:r>
      <w:r w:rsidRPr="00AB36CC">
        <w:rPr>
          <w:rFonts w:ascii="Times New Roman" w:hAnsi="Times New Roman" w:cs="Times New Roman"/>
          <w:b/>
          <w:sz w:val="24"/>
          <w:szCs w:val="24"/>
          <w:lang w:val="es-CO"/>
        </w:rPr>
        <w:t xml:space="preserve"> </w:t>
      </w:r>
      <w:r w:rsidRPr="00AB36CC">
        <w:rPr>
          <w:rFonts w:ascii="Times New Roman" w:hAnsi="Times New Roman" w:cs="Times New Roman"/>
          <w:b/>
          <w:sz w:val="24"/>
          <w:szCs w:val="24"/>
        </w:rPr>
        <w:t xml:space="preserve"> CRA Y DE LA SUPERINTENDENCIA DE SERVICIOS PÚBLICOS DOMICILIARIOS</w:t>
      </w:r>
      <w:r w:rsidRPr="00AB36CC">
        <w:rPr>
          <w:rFonts w:ascii="Times New Roman" w:hAnsi="Times New Roman" w:cs="Times New Roman"/>
          <w:b/>
          <w:sz w:val="24"/>
          <w:szCs w:val="24"/>
          <w:lang w:val="es-CO"/>
        </w:rPr>
        <w:t xml:space="preserve"> </w:t>
      </w:r>
      <w:r w:rsidRPr="00AB36CC">
        <w:rPr>
          <w:rFonts w:ascii="Times New Roman" w:hAnsi="Times New Roman" w:cs="Times New Roman"/>
          <w:b/>
          <w:sz w:val="24"/>
          <w:szCs w:val="24"/>
        </w:rPr>
        <w:t>-</w:t>
      </w:r>
      <w:r w:rsidRPr="00AB36CC">
        <w:rPr>
          <w:rFonts w:ascii="Times New Roman" w:hAnsi="Times New Roman" w:cs="Times New Roman"/>
          <w:b/>
          <w:sz w:val="24"/>
          <w:szCs w:val="24"/>
          <w:lang w:val="es-ES"/>
        </w:rPr>
        <w:t xml:space="preserve"> </w:t>
      </w:r>
      <w:r w:rsidRPr="00AB36CC">
        <w:rPr>
          <w:rFonts w:ascii="Times New Roman" w:hAnsi="Times New Roman" w:cs="Times New Roman"/>
          <w:b/>
          <w:sz w:val="24"/>
          <w:szCs w:val="24"/>
        </w:rPr>
        <w:t>SSPD.</w:t>
      </w:r>
      <w:r w:rsidRPr="00AB36CC">
        <w:rPr>
          <w:rFonts w:ascii="Times New Roman" w:hAnsi="Times New Roman" w:cs="Times New Roman"/>
          <w:b/>
          <w:sz w:val="24"/>
          <w:szCs w:val="24"/>
          <w:lang w:val="es-ES"/>
        </w:rPr>
        <w:t xml:space="preserve"> </w:t>
      </w:r>
      <w:r w:rsidRPr="00AB36CC">
        <w:rPr>
          <w:rFonts w:ascii="Times New Roman" w:hAnsi="Times New Roman" w:cs="Times New Roman"/>
          <w:sz w:val="24"/>
          <w:szCs w:val="24"/>
        </w:rPr>
        <w:t xml:space="preserve">Modifíquese el artículo 85 de la Ley 142 de 1994, el cual </w:t>
      </w:r>
      <w:r w:rsidRPr="00AB36CC">
        <w:rPr>
          <w:rFonts w:ascii="Times New Roman" w:hAnsi="Times New Roman" w:cs="Times New Roman"/>
          <w:sz w:val="24"/>
          <w:szCs w:val="24"/>
          <w:lang w:val="es-CO"/>
        </w:rPr>
        <w:t>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ARTÍCULO 85. CONTRIBUCIONES ESPECIALES A FAVOR DE LA COMISIÓN DE REGULACIÓN DE ENERGÍA Y GAS -</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rPr>
        <w:t xml:space="preserve">CREG, DE LA COMISIÓN DE REGULACIÓN DE AGUA POTABLE Y SANEAMIENTO </w:t>
      </w:r>
      <w:proofErr w:type="gramStart"/>
      <w:r w:rsidRPr="00AB36CC">
        <w:rPr>
          <w:rFonts w:ascii="Times New Roman" w:hAnsi="Times New Roman" w:cs="Times New Roman"/>
          <w:sz w:val="24"/>
          <w:szCs w:val="24"/>
        </w:rPr>
        <w:t>BÁSICO  CRA</w:t>
      </w:r>
      <w:proofErr w:type="gramEnd"/>
      <w:r w:rsidRPr="00AB36CC">
        <w:rPr>
          <w:rFonts w:ascii="Times New Roman" w:hAnsi="Times New Roman" w:cs="Times New Roman"/>
          <w:sz w:val="24"/>
          <w:szCs w:val="24"/>
        </w:rPr>
        <w:t xml:space="preserve"> Y DE LA SUPERINTENDENCIA DE SERVICIOS PÚBLICOS DOMICILIARIOS -</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rPr>
        <w:t>SSPD.</w:t>
      </w:r>
      <w:r w:rsidRPr="00AB36CC">
        <w:rPr>
          <w:rFonts w:ascii="Times New Roman" w:hAnsi="Times New Roman" w:cs="Times New Roman"/>
          <w:b/>
          <w:sz w:val="24"/>
          <w:szCs w:val="24"/>
          <w:lang w:val="es-ES"/>
        </w:rPr>
        <w:t xml:space="preserve"> </w:t>
      </w:r>
      <w:r w:rsidRPr="00AB36CC">
        <w:rPr>
          <w:rFonts w:ascii="Times New Roman" w:hAnsi="Times New Roman" w:cs="Times New Roman"/>
          <w:sz w:val="24"/>
          <w:szCs w:val="24"/>
        </w:rPr>
        <w:t>Con el fin de financiar los gastos de funcionamiento e inversión de la CREG, la CRA y la SSPD, y en general recuperar los costos del servicio, las personas prestadoras y entidades sujetas a la regulación, inspección, vigilancia y control de las respectivas entidades, serán sujetos pasivos del pago de las contribuciones especiales anuales descritas en el presente artículo, cuyas tarifas serán determinadas por las entidades respectivas y las cuales no podrán ser superiores al uno por ciento (1%) de las respectivas bases gravables.  Los elementos de las contribuciones a que hace referencia el presente artículo serán:</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bCs/>
          <w:sz w:val="24"/>
          <w:szCs w:val="24"/>
          <w:lang w:val="es-MX"/>
        </w:rPr>
      </w:pPr>
      <w:r w:rsidRPr="00AB36CC">
        <w:rPr>
          <w:rFonts w:ascii="Times New Roman" w:hAnsi="Times New Roman" w:cs="Times New Roman"/>
          <w:sz w:val="24"/>
          <w:szCs w:val="24"/>
        </w:rPr>
        <w:t>1. Base gravable: La base gravable de cada sujeto pasivo se determinará con base en los costos y gastos totales devengados de acuerdo con la técnica contable menos los impuestos</w:t>
      </w:r>
      <w:r w:rsidRPr="00AB36CC">
        <w:rPr>
          <w:rFonts w:ascii="Times New Roman" w:hAnsi="Times New Roman" w:cs="Times New Roman"/>
          <w:bCs/>
          <w:sz w:val="24"/>
          <w:szCs w:val="24"/>
          <w:lang w:val="es-MX"/>
        </w:rPr>
        <w:t xml:space="preserve">, tasas, contribuciones y los intereses devengados a favor de terceros independientes, del año inmediatamente anterior al de la fecha de liquidación, este resultado se denomina costos y gastos totales depurados. Este valor se multiplicará por la división de los ingresos por actividades ordinarias reguladas y el total de ingresos por actividades ordinarias, conforme a </w:t>
      </w:r>
      <w:r w:rsidRPr="00AB36CC">
        <w:rPr>
          <w:rFonts w:ascii="Times New Roman" w:hAnsi="Times New Roman" w:cs="Times New Roman"/>
          <w:bCs/>
          <w:sz w:val="24"/>
          <w:szCs w:val="24"/>
          <w:lang w:val="es-MX"/>
        </w:rPr>
        <w:lastRenderedPageBreak/>
        <w:t xml:space="preserve">los estados financieros de la vigencia fiscal anterior a la cual se haga su cobro. La base gravable descrita se calculará para cada sujeto pasivo así:  </w:t>
      </w:r>
    </w:p>
    <w:p w:rsidR="002167DE" w:rsidRPr="00AB36CC" w:rsidRDefault="002167DE" w:rsidP="002167DE">
      <w:pPr>
        <w:spacing w:afterLines="20" w:after="48" w:line="240" w:lineRule="auto"/>
        <w:jc w:val="both"/>
        <w:rPr>
          <w:rFonts w:ascii="Times New Roman" w:hAnsi="Times New Roman" w:cs="Times New Roman"/>
          <w:bCs/>
          <w:sz w:val="24"/>
          <w:szCs w:val="24"/>
          <w:lang w:val="es-MX"/>
        </w:rPr>
      </w:pPr>
    </w:p>
    <w:p w:rsidR="002167DE" w:rsidRPr="00AB36CC" w:rsidRDefault="002167DE" w:rsidP="002167DE">
      <w:pPr>
        <w:jc w:val="both"/>
        <w:rPr>
          <w:rFonts w:ascii="Times New Roman" w:hAnsi="Times New Roman" w:cs="Times New Roman"/>
          <w:bCs/>
          <w:sz w:val="24"/>
          <w:szCs w:val="24"/>
          <w:lang w:val="es-MX"/>
        </w:rPr>
      </w:pPr>
      <w:r w:rsidRPr="00AB36CC">
        <w:rPr>
          <w:rFonts w:ascii="Times New Roman" w:hAnsi="Times New Roman" w:cs="Times New Roman"/>
          <w:bCs/>
          <w:sz w:val="24"/>
          <w:szCs w:val="24"/>
          <w:lang w:val="es-MX"/>
        </w:rPr>
        <w:t>Base gravable = (Costos y Gastos totales depurados) * (Total ingresos actividades ordinarias y sus actividades complementarias de servicios sujetas a inspección vigilancia, control y regulación devengados en el período) / (Total de ingresos de actividades ordinarias devengados en el período)</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Se entenderá que es un tercero independiente siempre que no cumpla con alguno de los criterios de vinculación previstos en el Artículo 260-1 del Estatuto Tributario.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2. Tarifa: La tarifa de cada contribución especial se determinará por cada uno de los</w:t>
      </w:r>
      <w:r w:rsidRPr="00AB36CC">
        <w:rPr>
          <w:rFonts w:ascii="Times New Roman" w:eastAsia="Times New Roman" w:hAnsi="Times New Roman" w:cs="Times New Roman"/>
          <w:color w:val="000000"/>
          <w:sz w:val="24"/>
          <w:szCs w:val="24"/>
          <w:bdr w:val="none" w:sz="0" w:space="0" w:color="auto" w:frame="1"/>
          <w:lang w:val="es-ES"/>
        </w:rPr>
        <w:t xml:space="preserve"> sujetos activos de la contribución de manera independiente, tomando el valor del presupuesto neto de la entidad correspondiente en el año a financiar, incluidos la </w:t>
      </w:r>
      <w:r w:rsidRPr="00AB36CC">
        <w:rPr>
          <w:rFonts w:ascii="Times New Roman" w:hAnsi="Times New Roman" w:cs="Times New Roman"/>
          <w:sz w:val="24"/>
          <w:szCs w:val="24"/>
        </w:rPr>
        <w:t>totalidad de gastos de funcionamiento e inversión, el cual se dividirá por la suma de las bases gravables determinadas para los sujetos pasivos conforme a los estados financieros de la vigencia fiscal anterior.</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Tarifa de contribución de sujeto activo= (Presupuesto a financiar de sujeto activo)</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rPr>
        <w:t>/</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rPr>
        <w:t xml:space="preserve">(Suma de bases gravables de sujetos pasivos)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3. Hecho generador. El hecho generador de cada contribución especial por parte de los sujetos pasivos, será la prestación de los servicios sometidos a inspección, control, vigilancia y la venta de sus bienes vigilados o regulados.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4. Sujetos pasivos. Los sujetos pasivos de la contribución especial son las personas prestadoras de servicios públicos domiciliarios, conforme a los artículos 15 y 16 de la Ley 142 de 1994, y todos aquellos que inciden directa o indirectamente en la prestación de los servicios públicos domiciliarios; las personas prestadoras de la cadena de combustibles líquidos y las personas prestadoras del servicio de alumbrado público. Tratándose de la CREG también lo serán las personas prestadoras a que hace referencia el artículo 61 de la Ley 812 de 2003 y el Decreto 4299 de 2005, o las normas que lo modifiquen, sustituyan o deroguen, con excepción de los distribuidores minoristas en estación de servicio en un municipio ubicado en zona de frontera.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1.</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El Gobierno nacional reglamentará</w:t>
      </w:r>
      <w:r w:rsidRPr="00AB36CC">
        <w:rPr>
          <w:rFonts w:ascii="Times New Roman" w:hAnsi="Times New Roman" w:cs="Times New Roman"/>
          <w:sz w:val="24"/>
          <w:szCs w:val="24"/>
        </w:rPr>
        <w:t xml:space="preserve"> las características y condiciones especiales que se requieran para la determinación de las contribuciones especiales a que hace referencia el presente artículo, así como los asuntos relacionados con la declaración, administración, fiscalización, el cálculo, cobro, recaudo y aplicación del anticipo y demás aspectos relacionados con obligaciones formales y de procedimiento. Las sanciones e intereses por el incumplimiento de las obligaciones formales y sustanciales relacionadas con la contribución especial serán las mismas establecidas en el Estatuto Tributario para el impuesto sobre la renta y complementarios.</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lastRenderedPageBreak/>
        <w:t>PARÁGRAFO 2</w:t>
      </w:r>
      <w:r w:rsidRPr="00AB36CC">
        <w:rPr>
          <w:rFonts w:ascii="Times New Roman" w:hAnsi="Times New Roman" w:cs="Times New Roman"/>
          <w:sz w:val="24"/>
          <w:szCs w:val="24"/>
        </w:rPr>
        <w:t>. El manejo de los recursos del pago de las contribuciones especiales de la CRA y la CREG a que hace referencia el presente artículo realizarán de acuerdo con los mecanismos previstos en los artículos 72 de la Ley 142 de 1994 y 21 de la Ley 143 de 1994.  En el evento de existir excedentes de la contribución especial de la CREG provenientes de las actividades reguladas de combustibles líquidos, debido a recursos no ejecutados en el período presupuestal, dichos excedentes serán compensados al pago de la contribución especial de cada empresa del sector de combustibles líquidos en la siguiente vigencia fiscal.</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3.</w:t>
      </w:r>
      <w:r w:rsidRPr="00AB36CC">
        <w:rPr>
          <w:rFonts w:ascii="Times New Roman" w:hAnsi="Times New Roman" w:cs="Times New Roman"/>
          <w:sz w:val="24"/>
          <w:szCs w:val="24"/>
        </w:rPr>
        <w:t xml:space="preserve"> Los sujetos pasivos objeto de la presente contribución están obligados a reportar a más tardar el 30 de abril de cada vigencia la información requerida para el cálculo de la tarifa y la liquidación de la contribución especial en el formato que para el efecto defina la CRA, la CREG y la SSPD a través del SUI.</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El no reporte de información, en las condiciones de oportunidad, calidad e integralidad definidos por la SSPD, generará la imposición de las sanciones a que hubiere lugar.</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TRANSITORIO.</w:t>
      </w:r>
      <w:r w:rsidRPr="00AB36CC">
        <w:rPr>
          <w:rFonts w:ascii="Times New Roman" w:hAnsi="Times New Roman" w:cs="Times New Roman"/>
          <w:sz w:val="24"/>
          <w:szCs w:val="24"/>
        </w:rPr>
        <w:t xml:space="preserve"> Para la vigencia de 2019 el plazo para el cargue de la información será el 31 de julio.</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bCs/>
          <w:sz w:val="24"/>
          <w:szCs w:val="24"/>
          <w:lang w:val="es-CO"/>
        </w:rPr>
        <w:t>ARTÍCULO 37º. ADMINISTRACIÓN EFICIENTE DE RECURSOS PÚBLICOS.</w:t>
      </w:r>
      <w:r w:rsidRPr="00AB36CC">
        <w:rPr>
          <w:rFonts w:ascii="Times New Roman" w:hAnsi="Times New Roman" w:cs="Times New Roman"/>
          <w:sz w:val="24"/>
          <w:szCs w:val="24"/>
          <w:lang w:val="es-CO"/>
        </w:rPr>
        <w:t xml:space="preserve"> Modifíquese el artículo 149 de la Ley 1753 de 2015, el cual 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ARTÍCULO 149. ADMINISTRACIÓN EFICIENTE DE RECURSOS PÚBLICOS. Los recursos provenientes del Presupuesto General de la Nación transferidos a entidades financieras no podrán tener como objeto proveerlas de fondos sino atender los compromisos y obligaciones en desarrollo del objeto de las apropiaciones presupuestales.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En consecuencia, los saldos de recursos girados a entidades financieras que no se encuentren respaldando compromisos u obligaciones del Presupuesto General de la Nación deberán ser reintegrados a la entidad estatal respectiva, </w:t>
      </w:r>
      <w:r w:rsidRPr="00AB36CC">
        <w:rPr>
          <w:rFonts w:ascii="Times New Roman" w:hAnsi="Times New Roman" w:cs="Times New Roman"/>
          <w:sz w:val="24"/>
          <w:szCs w:val="24"/>
          <w:highlight w:val="yellow"/>
        </w:rPr>
        <w:t>de conformidad con la reglamentación que expida el Ministerio de Hacienda y Crédito Público</w:t>
      </w:r>
      <w:r w:rsidRPr="00AB36CC">
        <w:rPr>
          <w:rFonts w:ascii="Times New Roman" w:hAnsi="Times New Roman" w:cs="Times New Roman"/>
          <w:sz w:val="24"/>
          <w:szCs w:val="24"/>
        </w:rPr>
        <w:t>. Los saldos así reintegrados podrán ser requeridos nuevamente para gastos referentes al cumplimiento de su objeto, sin que implique operación presupuestal alguna.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Los rendimientos financieros originados con recursos de la Nación deben consignarse en la Dirección General de Crédito Público y Tesoro Nacional, con excepción de aquellos rendimientos en los que la Ley haya determinado específicamente su tratamiento.</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Cuando los negocios fiduciarios utilicen la creación de subcuentas, subprogramas, </w:t>
      </w:r>
      <w:proofErr w:type="spellStart"/>
      <w:r w:rsidRPr="00AB36CC">
        <w:rPr>
          <w:rFonts w:ascii="Times New Roman" w:hAnsi="Times New Roman" w:cs="Times New Roman"/>
          <w:sz w:val="24"/>
          <w:szCs w:val="24"/>
        </w:rPr>
        <w:t>subproyectos</w:t>
      </w:r>
      <w:proofErr w:type="spellEnd"/>
      <w:r w:rsidRPr="00AB36CC">
        <w:rPr>
          <w:rFonts w:ascii="Times New Roman" w:hAnsi="Times New Roman" w:cs="Times New Roman"/>
          <w:sz w:val="24"/>
          <w:szCs w:val="24"/>
        </w:rPr>
        <w:t>, o cualquier otra modalidad de clasificación, deberán implementar de manera temporal la unidad de caja, sin afectar los derechos de los beneficiarios del negocio jurídico, para buscar eficiencia en el manejo de los recursos que les sitúa la Nación.</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lastRenderedPageBreak/>
        <w:t>PARÁGRAFO 1</w:t>
      </w:r>
      <w:r w:rsidRPr="00AB36CC">
        <w:rPr>
          <w:rFonts w:ascii="Times New Roman" w:hAnsi="Times New Roman" w:cs="Times New Roman"/>
          <w:sz w:val="24"/>
          <w:szCs w:val="24"/>
        </w:rPr>
        <w:t>. Además de lo dispuesto en los incisos primero y segundo del artículo 261 de la Ley 1450 de 2011, las entidades estatales del orden nacional que administren contribuciones parafiscales y los órganos de previsión y seguridad social que administren prestaciones sociales de carácter económico, podrán formar parte del Sistema de Cuenta Única Nacional.</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2.</w:t>
      </w:r>
      <w:r w:rsidRPr="00AB36CC">
        <w:rPr>
          <w:rFonts w:ascii="Times New Roman" w:hAnsi="Times New Roman" w:cs="Times New Roman"/>
          <w:sz w:val="24"/>
          <w:szCs w:val="24"/>
        </w:rPr>
        <w:t xml:space="preserve"> La Dirección General de Crédito Público y Tesoro Nacional podrá administrar excedentes de liquidez de entidades estatales de cualquier orden a través de depósitos en administración, </w:t>
      </w:r>
      <w:r w:rsidRPr="00AB36CC">
        <w:rPr>
          <w:rFonts w:ascii="Times New Roman" w:hAnsi="Times New Roman" w:cs="Times New Roman"/>
          <w:sz w:val="24"/>
          <w:szCs w:val="24"/>
          <w:highlight w:val="yellow"/>
        </w:rPr>
        <w:t>de conformidad con la reglamentación que expida el Ministerio de Hacienda y Crédito Público</w:t>
      </w:r>
      <w:r w:rsidRPr="00AB36CC">
        <w:rPr>
          <w:rFonts w:ascii="Times New Roman" w:hAnsi="Times New Roman" w:cs="Times New Roman"/>
          <w:sz w:val="24"/>
          <w:szCs w:val="24"/>
        </w:rPr>
        <w:t>.</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w:t>
      </w:r>
      <w:r w:rsidRPr="00AB36CC">
        <w:rPr>
          <w:rFonts w:ascii="Times New Roman" w:hAnsi="Times New Roman" w:cs="Times New Roman"/>
          <w:b/>
          <w:sz w:val="24"/>
          <w:szCs w:val="24"/>
        </w:rPr>
        <w:t>PARÁGRAFO 3.</w:t>
      </w:r>
      <w:r w:rsidRPr="00AB36CC">
        <w:rPr>
          <w:rFonts w:ascii="Times New Roman" w:hAnsi="Times New Roman" w:cs="Times New Roman"/>
          <w:sz w:val="24"/>
          <w:szCs w:val="24"/>
        </w:rPr>
        <w:t xml:space="preserve"> Lo establecido en el inciso segundo de la presente disposición aplicará de manera especial para los recursos del Fondo de Reserva para la Estabilización de la Cartera Hipotecaria - FRECH de que tratan los artículos 48 y 49 de la Ley 546 de 1999 y el artículo 88 de la Ley 1151 de 2017, así como para los recursos del Subsidio de Vivienda de Interés Social Rural - SVISR depositados por el Banco Agrario, de conformidad con lo establecido en el Capítulo 1 del Título 1 de la Parte 2 del Libro 2 del Decreto 1071 de 2015 y sus normas modificatorias.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55º. PAGO DE SENTENCIAS O CONCILIACIONES JUDICIALES EN MORA.</w:t>
      </w:r>
      <w:r w:rsidRPr="00AB36CC">
        <w:rPr>
          <w:rFonts w:ascii="Times New Roman" w:hAnsi="Times New Roman" w:cs="Times New Roman"/>
          <w:sz w:val="24"/>
          <w:szCs w:val="24"/>
          <w:lang w:val="es-CO"/>
        </w:rPr>
        <w:t xml:space="preserve"> Durante la vigencia de la presente Ley, la Nación podrá reconocer como deuda pública las obligaciones de pago originadas en sentencias o conciliaciones judiciales debidamente ejecutoriadas y los intereses derivados de las mismas, que se encuentren en mora en su pago a la fecha de expedición de la presente Ley. Este reconocimiento operará exclusivamente para las entidades que hagan parte del Presupuesto General de la Nación y por una sola vez. En estos casos, dichas obligaciones de pago serán reconocidas y pagadas bien sea con cargo al servicio de deuda del Presupuesto General de la Nación o mediante la emisión de Títulos de Tesorería TES Clase B.</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Para el cumplimiento de lo señalado en este artículo y con el objetivo de suministrar la respectiva liquidez, la Dirección General de Crédito Público y Tesoro Nacional del Ministerio de Hacienda y Crédito Público administrará, en una cuenta independiente el cupo de emisión de TES que se destine a la atención de las obligaciones de pago originadas en sentencias o conciliaciones judiciales ejecutoriadas, y los intereses derivados de las mismas. Para estos efectos, la Dirección General de Crédito Público y Tesoro Nacional estará facultada para realizar las operaciones necesarias en el mercado monetario y de deuda pública.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En todo caso, las entidades de las que trata el inciso primero de este artículo deberán tener en cuenta:</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ab/>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1. La veracidad, oportunidad, verificación de los requisitos para el pago de las obligaciones, así como la responsabilidad de adelantar las gestiones pertinentes radica exclusivamente en </w:t>
      </w:r>
      <w:r w:rsidRPr="00AB36CC">
        <w:rPr>
          <w:rFonts w:ascii="Times New Roman" w:hAnsi="Times New Roman" w:cs="Times New Roman"/>
          <w:sz w:val="24"/>
          <w:szCs w:val="24"/>
        </w:rPr>
        <w:lastRenderedPageBreak/>
        <w:t xml:space="preserve">cada una de las entidades, sin que implique responsabilidad alguna para las demás entidades que participan en el proceso de pago de las sentencias o conciliaciones, de conformidad con lo que para el efecto defina el Gobierno nacional. El incumplimiento de lo dispuesto en este numeral acarreará las sanciones penales, disciplinarias y fiscales a que haya lugar.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2. El cumplimiento de lo dispuesto en el artículo 262 de la Ley 1819 de 2016.</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3. Podrán celebrar acuerdos de pago o conciliaciones extrajudiciales con los beneficiarios finales, respecto de los montos adeudados.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4. La responsabilidad por el pago de las obligaciones es exclusivamente de la entidad, la cual garantizará el respeto del turno de pago. </w:t>
      </w:r>
      <w:r w:rsidRPr="00AB36CC">
        <w:rPr>
          <w:rFonts w:ascii="Times New Roman" w:hAnsi="Times New Roman" w:cs="Times New Roman"/>
          <w:sz w:val="24"/>
          <w:szCs w:val="24"/>
          <w:highlight w:val="yellow"/>
        </w:rPr>
        <w:t>El Gobierno nacional reglamentará la materia.</w:t>
      </w: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PRIMERO.</w:t>
      </w:r>
      <w:r w:rsidRPr="00AB36CC">
        <w:rPr>
          <w:rFonts w:ascii="Times New Roman" w:hAnsi="Times New Roman" w:cs="Times New Roman"/>
          <w:sz w:val="24"/>
          <w:szCs w:val="24"/>
        </w:rPr>
        <w:t xml:space="preserve"> La emisión de Títulos de Tesorería TES Clase B de que trata el presente artículo no implica operación presupuestal y sólo debe presupuestarse para efectos del pago de intereses y la redención de los títulos.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Las entidades del Presupuesto General de la Nación de las que trata el presente artículo deberán acordar con el Ministerio de Hacienda y Crédito Público los mecanismos para asumir el principal e intereses de los títulos con cargo a sus presupuestos de gasto y procederán con los registros contables que sean del caso para extinguir dichas obligaciones.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 xml:space="preserve">PARÁGRAFO TERCERO. </w:t>
      </w:r>
      <w:r w:rsidRPr="00AB36CC">
        <w:rPr>
          <w:rFonts w:ascii="Times New Roman" w:hAnsi="Times New Roman" w:cs="Times New Roman"/>
          <w:sz w:val="24"/>
          <w:szCs w:val="24"/>
        </w:rPr>
        <w:t>Lo dispuesto en el presente artículo no aplicará para el reconocimiento y pago de sentencias y conciliaciones que hayan sido objeto de cesión de créditos judiciales celebrada con posterioridad al 1 de enero de 2019.</w:t>
      </w:r>
    </w:p>
    <w:p w:rsidR="001F2362" w:rsidRPr="00AB36CC" w:rsidRDefault="001F2362" w:rsidP="002167DE">
      <w:pPr>
        <w:spacing w:afterLines="20" w:after="48" w:line="240" w:lineRule="auto"/>
        <w:jc w:val="both"/>
        <w:rPr>
          <w:rFonts w:ascii="Times New Roman" w:hAnsi="Times New Roman" w:cs="Times New Roman"/>
          <w:sz w:val="24"/>
          <w:szCs w:val="24"/>
        </w:rPr>
      </w:pPr>
    </w:p>
    <w:p w:rsidR="001F2362" w:rsidRPr="00AB36CC" w:rsidRDefault="001F2362" w:rsidP="001F2362">
      <w:pPr>
        <w:pStyle w:val="Prrafodelista"/>
        <w:numPr>
          <w:ilvl w:val="0"/>
          <w:numId w:val="1"/>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 xml:space="preserve">ARTÍCULO 57°. </w:t>
      </w:r>
      <w:r w:rsidRPr="00AB36CC">
        <w:rPr>
          <w:rFonts w:ascii="Times New Roman" w:hAnsi="Times New Roman" w:cs="Times New Roman"/>
          <w:b/>
          <w:bCs/>
          <w:sz w:val="24"/>
          <w:szCs w:val="24"/>
        </w:rPr>
        <w:t xml:space="preserve">FONDO DIAN PARA COLOMBIA. </w:t>
      </w:r>
      <w:r w:rsidRPr="00AB36CC">
        <w:rPr>
          <w:rFonts w:ascii="Times New Roman" w:hAnsi="Times New Roman" w:cs="Times New Roman"/>
          <w:sz w:val="24"/>
          <w:szCs w:val="24"/>
        </w:rPr>
        <w:t>Créase un patrimonio autónomo denominado Fondo DIAN para Colombia, administrado por el Ministerio de Hacienda y Crédito Público o por la entidad o entidades que ésta decida. Este Fondo tendrá por objeto la financiación y/o la inversión  del programa de modernización de la Dirección de Impuestos y Aduanas Nacionales - DIAN. En desarrollo de su propósito el mencionado patrimonio autónomo podrá:</w:t>
      </w:r>
    </w:p>
    <w:p w:rsidR="001F2362" w:rsidRPr="00AB36CC" w:rsidRDefault="001F2362" w:rsidP="001F2362">
      <w:pPr>
        <w:spacing w:afterLines="20" w:after="48" w:line="240" w:lineRule="auto"/>
        <w:jc w:val="both"/>
        <w:rPr>
          <w:rFonts w:ascii="Times New Roman" w:hAnsi="Times New Roman" w:cs="Times New Roman"/>
          <w:sz w:val="24"/>
          <w:szCs w:val="24"/>
        </w:rPr>
      </w:pPr>
    </w:p>
    <w:p w:rsidR="001F2362" w:rsidRPr="00AB36CC" w:rsidRDefault="001F2362" w:rsidP="001F2362">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1. Recibir total o parcialmente aportes del Gobierno nacional para financiar o cofinanciar los proyectos de desarrollo acordes con la finalidad del patrimonio autónomo.</w:t>
      </w:r>
    </w:p>
    <w:p w:rsidR="001F2362" w:rsidRPr="00AB36CC" w:rsidRDefault="001F2362" w:rsidP="001F2362">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2. Aceptar donaciones del sector público o privado, nacional e internacional, con el propósito de realizar las actividades del patrimonio.</w:t>
      </w:r>
    </w:p>
    <w:p w:rsidR="001F2362" w:rsidRPr="00AB36CC" w:rsidRDefault="001F2362" w:rsidP="001F2362">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3. Suscribir convenios o contratos con entidades públicas para desarrollar su propósito.</w:t>
      </w:r>
    </w:p>
    <w:p w:rsidR="001F2362" w:rsidRPr="00AB36CC" w:rsidRDefault="001F2362" w:rsidP="001F2362">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4. Celebrar operaciones de financiamiento interno o externo, a nombre de patrimonio autónomo para lo cual la Nación o las Entidades Territoriales podrán otorgar los avales o garantías correspondientes. Para el otorgamiento de la garantía de la Nación no será necesario </w:t>
      </w:r>
      <w:r w:rsidRPr="00AB36CC">
        <w:rPr>
          <w:rFonts w:ascii="Times New Roman" w:hAnsi="Times New Roman" w:cs="Times New Roman"/>
          <w:sz w:val="24"/>
          <w:szCs w:val="24"/>
        </w:rPr>
        <w:lastRenderedPageBreak/>
        <w:t>la constitución de las contragarantías a favor de la Nación ni de la realización de aportes al Fondo de Contingencias.</w:t>
      </w:r>
    </w:p>
    <w:p w:rsidR="001F2362" w:rsidRPr="00AB36CC" w:rsidRDefault="001F2362" w:rsidP="001F2362">
      <w:pPr>
        <w:spacing w:afterLines="20" w:after="48" w:line="240" w:lineRule="auto"/>
        <w:jc w:val="both"/>
        <w:rPr>
          <w:rFonts w:ascii="Times New Roman" w:hAnsi="Times New Roman" w:cs="Times New Roman"/>
          <w:sz w:val="24"/>
          <w:szCs w:val="24"/>
        </w:rPr>
      </w:pPr>
    </w:p>
    <w:p w:rsidR="001F2362" w:rsidRPr="00AB36CC" w:rsidRDefault="001F2362" w:rsidP="001F2362">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Cumplido el propósito del Fondo DIAN para Colombia, este podrá ser liquidado.</w:t>
      </w:r>
    </w:p>
    <w:p w:rsidR="001F2362" w:rsidRPr="00AB36CC" w:rsidRDefault="001F2362" w:rsidP="001F2362">
      <w:pPr>
        <w:spacing w:afterLines="20" w:after="48" w:line="240" w:lineRule="auto"/>
        <w:jc w:val="both"/>
        <w:rPr>
          <w:rFonts w:ascii="Times New Roman" w:hAnsi="Times New Roman" w:cs="Times New Roman"/>
          <w:sz w:val="24"/>
          <w:szCs w:val="24"/>
        </w:rPr>
      </w:pPr>
    </w:p>
    <w:p w:rsidR="001F2362" w:rsidRPr="00AB36CC" w:rsidRDefault="001F2362" w:rsidP="001F2362">
      <w:pPr>
        <w:spacing w:after="0"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la materia.</w:t>
      </w:r>
    </w:p>
    <w:p w:rsidR="001F2362" w:rsidRPr="00AB36CC" w:rsidRDefault="001F2362"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0" w:line="240" w:lineRule="auto"/>
        <w:jc w:val="both"/>
        <w:rPr>
          <w:rFonts w:ascii="Times New Roman" w:hAnsi="Times New Roman" w:cs="Times New Roman"/>
          <w:b/>
          <w:sz w:val="24"/>
          <w:szCs w:val="24"/>
          <w:lang w:val="es-CO"/>
        </w:rPr>
      </w:pPr>
      <w:r w:rsidRPr="00AB36CC">
        <w:rPr>
          <w:rFonts w:ascii="Times New Roman" w:hAnsi="Times New Roman" w:cs="Times New Roman"/>
          <w:b/>
          <w:sz w:val="24"/>
          <w:szCs w:val="24"/>
          <w:lang w:val="es-CO"/>
        </w:rPr>
        <w:t xml:space="preserve">ARTÍCULO 58°. FONDO NACIONAL PARA EL DESARROLLO DE LA INFRAESTRUCTURA - FONDES. </w:t>
      </w:r>
      <w:r w:rsidRPr="00AB36CC">
        <w:rPr>
          <w:rFonts w:ascii="Times New Roman" w:hAnsi="Times New Roman" w:cs="Times New Roman"/>
          <w:bCs/>
          <w:sz w:val="24"/>
          <w:szCs w:val="24"/>
          <w:lang w:val="es-CO"/>
        </w:rPr>
        <w:t>Modifíquese el artículo 144 de la Ley 1753 de 2015 que quedará así:</w:t>
      </w:r>
    </w:p>
    <w:p w:rsidR="002167DE" w:rsidRPr="00AB36CC" w:rsidRDefault="002167DE" w:rsidP="002167DE">
      <w:pPr>
        <w:spacing w:after="0" w:line="240" w:lineRule="auto"/>
        <w:jc w:val="both"/>
        <w:rPr>
          <w:rFonts w:ascii="Times New Roman" w:hAnsi="Times New Roman" w:cs="Times New Roman"/>
          <w:b/>
          <w:bCs/>
          <w:sz w:val="24"/>
          <w:szCs w:val="24"/>
        </w:rPr>
      </w:pPr>
    </w:p>
    <w:p w:rsidR="002167DE" w:rsidRPr="00AB36CC" w:rsidRDefault="002167DE" w:rsidP="002167DE">
      <w:pPr>
        <w:spacing w:after="0"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ARTÍCULO 144. </w:t>
      </w:r>
      <w:r w:rsidRPr="00AB36CC">
        <w:rPr>
          <w:rFonts w:ascii="Times New Roman" w:hAnsi="Times New Roman" w:cs="Times New Roman"/>
          <w:sz w:val="24"/>
          <w:szCs w:val="24"/>
        </w:rPr>
        <w:t>FONDO NACIONAL PARA EL DESARROLLO DE LA INFRAESTRUCTURA.</w:t>
      </w:r>
      <w:r w:rsidRPr="00AB36CC">
        <w:rPr>
          <w:rFonts w:ascii="Times New Roman" w:hAnsi="Times New Roman" w:cs="Times New Roman"/>
          <w:b/>
          <w:sz w:val="24"/>
          <w:szCs w:val="24"/>
        </w:rPr>
        <w:t xml:space="preserve"> </w:t>
      </w:r>
      <w:r w:rsidRPr="00AB36CC">
        <w:rPr>
          <w:rFonts w:ascii="Times New Roman" w:hAnsi="Times New Roman" w:cs="Times New Roman"/>
          <w:bCs/>
          <w:sz w:val="24"/>
          <w:szCs w:val="24"/>
        </w:rPr>
        <w:t>FONDES. El Fondo Nacional para el Desarrollo de la Infraestructura - FONDES, será administrado por la Financiera de Desarrollo Nacional y/o la entidad que defina el Gobierno nacional, de conformidad con la reglamentación expedida para el efecto y en los términos del contrato que se suscriba.</w:t>
      </w:r>
    </w:p>
    <w:p w:rsidR="002167DE" w:rsidRPr="00AB36CC" w:rsidRDefault="002167DE" w:rsidP="002167DE">
      <w:pPr>
        <w:spacing w:after="0"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El objeto del FONDES será la inversión y financiamiento de proyectos de infraestructura, así como la inversión en el capital social de empresas de servicios públicos mixtas u oficiales y su patrimonio estará constituido, entre otras, por las siguientes fuentes:</w:t>
      </w:r>
    </w:p>
    <w:p w:rsidR="002167DE" w:rsidRPr="00AB36CC" w:rsidRDefault="002167DE" w:rsidP="002167DE">
      <w:pPr>
        <w:spacing w:after="0" w:line="240" w:lineRule="auto"/>
        <w:jc w:val="both"/>
        <w:rPr>
          <w:rFonts w:ascii="Times New Roman" w:hAnsi="Times New Roman" w:cs="Times New Roman"/>
          <w:bCs/>
          <w:sz w:val="24"/>
          <w:szCs w:val="24"/>
        </w:rPr>
      </w:pPr>
    </w:p>
    <w:p w:rsidR="002167DE" w:rsidRPr="00AB36CC" w:rsidRDefault="002167DE" w:rsidP="002167DE">
      <w:pPr>
        <w:spacing w:after="0"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a) Cuando el Gobierno nacional lo defina, los recursos producto de la enajenación de la participación accionaria de la Nación, recibidos en virtud de un proceso regulado por la </w:t>
      </w:r>
      <w:r w:rsidRPr="00AB36CC">
        <w:rPr>
          <w:rFonts w:ascii="Times New Roman" w:hAnsi="Times New Roman" w:cs="Times New Roman"/>
          <w:bCs/>
          <w:color w:val="000000" w:themeColor="text1"/>
          <w:sz w:val="24"/>
          <w:szCs w:val="24"/>
        </w:rPr>
        <w:t xml:space="preserve">Ley </w:t>
      </w:r>
      <w:hyperlink r:id="rId5" w:history="1">
        <w:r w:rsidRPr="00AB36CC">
          <w:rPr>
            <w:rStyle w:val="Hipervnculo"/>
            <w:rFonts w:ascii="Times New Roman" w:hAnsi="Times New Roman" w:cs="Times New Roman"/>
            <w:bCs/>
            <w:color w:val="000000" w:themeColor="text1"/>
            <w:sz w:val="24"/>
            <w:szCs w:val="24"/>
          </w:rPr>
          <w:t>226</w:t>
        </w:r>
      </w:hyperlink>
      <w:r w:rsidRPr="00AB36CC">
        <w:rPr>
          <w:rFonts w:ascii="Times New Roman" w:hAnsi="Times New Roman" w:cs="Times New Roman"/>
          <w:bCs/>
          <w:color w:val="000000" w:themeColor="text1"/>
          <w:sz w:val="24"/>
          <w:szCs w:val="24"/>
        </w:rPr>
        <w:t xml:space="preserve"> de </w:t>
      </w:r>
      <w:r w:rsidRPr="00AB36CC">
        <w:rPr>
          <w:rFonts w:ascii="Times New Roman" w:hAnsi="Times New Roman" w:cs="Times New Roman"/>
          <w:bCs/>
          <w:sz w:val="24"/>
          <w:szCs w:val="24"/>
        </w:rPr>
        <w:t>1995;</w:t>
      </w:r>
    </w:p>
    <w:p w:rsidR="002167DE" w:rsidRPr="00AB36CC" w:rsidRDefault="002167DE" w:rsidP="002167DE">
      <w:pPr>
        <w:spacing w:after="0"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b) Los rendimientos que genere el Fondo;</w:t>
      </w:r>
    </w:p>
    <w:p w:rsidR="002167DE" w:rsidRPr="00AB36CC" w:rsidRDefault="002167DE" w:rsidP="002167DE">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c) Los recursos que obtenga el fondo a través de sus propias operaciones de crédito público y de tesorería;</w:t>
      </w:r>
    </w:p>
    <w:p w:rsidR="002167DE" w:rsidRPr="00AB36CC" w:rsidRDefault="002167DE" w:rsidP="002167DE">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d) Los demás recursos que se dispongan para el efecto.</w:t>
      </w:r>
    </w:p>
    <w:p w:rsidR="002167DE" w:rsidRPr="00AB36CC" w:rsidRDefault="002167DE" w:rsidP="002167DE">
      <w:pPr>
        <w:spacing w:afterLines="20" w:after="48" w:line="240" w:lineRule="auto"/>
        <w:jc w:val="both"/>
        <w:rPr>
          <w:rFonts w:ascii="Times New Roman" w:hAnsi="Times New Roman" w:cs="Times New Roman"/>
          <w:bCs/>
          <w:sz w:val="24"/>
          <w:szCs w:val="24"/>
        </w:rPr>
      </w:pPr>
    </w:p>
    <w:p w:rsidR="002167DE" w:rsidRPr="00AB36CC" w:rsidRDefault="002167DE" w:rsidP="002167DE">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highlight w:val="yellow"/>
        </w:rPr>
        <w:t>El Gobierno nacional reglamentará la administración y funcionamiento del FONDES</w:t>
      </w:r>
      <w:r w:rsidRPr="00AB36CC">
        <w:rPr>
          <w:rFonts w:ascii="Times New Roman" w:hAnsi="Times New Roman" w:cs="Times New Roman"/>
          <w:bCs/>
          <w:sz w:val="24"/>
          <w:szCs w:val="24"/>
        </w:rPr>
        <w:t xml:space="preserve">, así como los demás asuntos necesarios para su financiamiento y el cabal cumplimiento de su objeto, sin perjuicio del cumplimiento de lo dispuesto por el </w:t>
      </w:r>
      <w:r w:rsidRPr="00AB36CC">
        <w:rPr>
          <w:rFonts w:ascii="Times New Roman" w:hAnsi="Times New Roman" w:cs="Times New Roman"/>
          <w:bCs/>
          <w:color w:val="000000" w:themeColor="text1"/>
          <w:sz w:val="24"/>
          <w:szCs w:val="24"/>
        </w:rPr>
        <w:t xml:space="preserve">artículo </w:t>
      </w:r>
      <w:hyperlink r:id="rId6" w:history="1">
        <w:r w:rsidRPr="00AB36CC">
          <w:rPr>
            <w:rStyle w:val="Hipervnculo"/>
            <w:rFonts w:ascii="Times New Roman" w:hAnsi="Times New Roman" w:cs="Times New Roman"/>
            <w:bCs/>
            <w:color w:val="000000" w:themeColor="text1"/>
            <w:sz w:val="24"/>
            <w:szCs w:val="24"/>
          </w:rPr>
          <w:t>124</w:t>
        </w:r>
      </w:hyperlink>
      <w:r w:rsidRPr="00AB36CC">
        <w:rPr>
          <w:rFonts w:ascii="Times New Roman" w:hAnsi="Times New Roman" w:cs="Times New Roman"/>
          <w:bCs/>
          <w:color w:val="000000" w:themeColor="text1"/>
          <w:sz w:val="24"/>
          <w:szCs w:val="24"/>
        </w:rPr>
        <w:t xml:space="preserve"> del </w:t>
      </w:r>
      <w:r w:rsidRPr="00AB36CC">
        <w:rPr>
          <w:rFonts w:ascii="Times New Roman" w:hAnsi="Times New Roman" w:cs="Times New Roman"/>
          <w:bCs/>
          <w:sz w:val="24"/>
          <w:szCs w:val="24"/>
        </w:rPr>
        <w:t>Estatuto Orgánico del Presupuesto.</w:t>
      </w:r>
    </w:p>
    <w:p w:rsidR="002167DE" w:rsidRPr="00AB36CC" w:rsidRDefault="002167DE" w:rsidP="002167DE">
      <w:pPr>
        <w:spacing w:afterLines="20" w:after="48" w:line="240" w:lineRule="auto"/>
        <w:jc w:val="both"/>
        <w:rPr>
          <w:rFonts w:ascii="Times New Roman" w:hAnsi="Times New Roman" w:cs="Times New Roman"/>
          <w:bCs/>
          <w:sz w:val="24"/>
          <w:szCs w:val="24"/>
        </w:rPr>
      </w:pPr>
    </w:p>
    <w:p w:rsidR="00644281" w:rsidRPr="00AB36CC" w:rsidRDefault="002167DE" w:rsidP="002167DE">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
          <w:bCs/>
          <w:sz w:val="24"/>
          <w:szCs w:val="24"/>
        </w:rPr>
        <w:t>PARÁGRAFO.</w:t>
      </w:r>
      <w:r w:rsidRPr="00AB36CC">
        <w:rPr>
          <w:rFonts w:ascii="Times New Roman" w:hAnsi="Times New Roman" w:cs="Times New Roman"/>
          <w:bCs/>
          <w:sz w:val="24"/>
          <w:szCs w:val="24"/>
        </w:rPr>
        <w:t xml:space="preserve"> Los recursos resultantes de la enajenación de la participación accionaria de la Nación señalados en este artículo, mientras se incorporan al Presupuesto General de la Nación, se mantendrán en una cuenta especial e independiente administrada por el Tesoro Nacional. </w:t>
      </w:r>
      <w:r w:rsidRPr="00AB36CC">
        <w:rPr>
          <w:rFonts w:ascii="Times New Roman" w:hAnsi="Times New Roman" w:cs="Times New Roman"/>
          <w:bCs/>
          <w:sz w:val="24"/>
          <w:szCs w:val="24"/>
          <w:highlight w:val="yellow"/>
        </w:rPr>
        <w:t>El Gobierno nacional reglamentará el procedimiento por el que se decidirán los términos y plazos en que los recursos de esta cuenta especial serán incorporados en el Presupuesto General de la Nación</w:t>
      </w:r>
      <w:r w:rsidRPr="00AB36CC">
        <w:rPr>
          <w:rFonts w:ascii="Times New Roman" w:hAnsi="Times New Roman" w:cs="Times New Roman"/>
          <w:bCs/>
          <w:sz w:val="24"/>
          <w:szCs w:val="24"/>
        </w:rPr>
        <w:t xml:space="preserve">, así como la transferencia de los mimos del Tesoro Nacional a los administradores. </w:t>
      </w:r>
    </w:p>
    <w:p w:rsidR="002167DE" w:rsidRPr="00AB36CC" w:rsidRDefault="002167DE" w:rsidP="002167DE">
      <w:pPr>
        <w:jc w:val="both"/>
        <w:rPr>
          <w:rFonts w:ascii="Times New Roman" w:hAnsi="Times New Roman" w:cs="Times New Roman"/>
          <w:sz w:val="24"/>
          <w:szCs w:val="24"/>
        </w:rPr>
      </w:pPr>
    </w:p>
    <w:p w:rsidR="002167DE" w:rsidRPr="00AB36CC" w:rsidRDefault="002167DE" w:rsidP="002167DE">
      <w:pPr>
        <w:pStyle w:val="Prrafodelista"/>
        <w:numPr>
          <w:ilvl w:val="0"/>
          <w:numId w:val="1"/>
        </w:numPr>
        <w:shd w:val="clear" w:color="auto" w:fill="FFFFFF"/>
        <w:spacing w:after="0" w:line="235" w:lineRule="atLeast"/>
        <w:jc w:val="both"/>
        <w:rPr>
          <w:rFonts w:ascii="Times New Roman" w:eastAsia="Times New Roman" w:hAnsi="Times New Roman" w:cs="Times New Roman"/>
          <w:color w:val="000000"/>
          <w:sz w:val="24"/>
          <w:szCs w:val="24"/>
          <w:lang w:val="es-ES" w:eastAsia="en-US"/>
        </w:rPr>
      </w:pPr>
      <w:r w:rsidRPr="00AB36CC">
        <w:rPr>
          <w:rFonts w:ascii="Times New Roman" w:eastAsia="Times New Roman" w:hAnsi="Times New Roman" w:cs="Times New Roman"/>
          <w:b/>
          <w:bCs/>
          <w:iCs/>
          <w:color w:val="000000"/>
          <w:sz w:val="24"/>
          <w:szCs w:val="24"/>
          <w:bdr w:val="none" w:sz="0" w:space="0" w:color="auto" w:frame="1"/>
          <w:lang w:val="es-ES_tradnl" w:eastAsia="en-US"/>
        </w:rPr>
        <w:t xml:space="preserve">ARTÍCULO 68°. MOVILIZACIÓN DE CARTERA. </w:t>
      </w:r>
      <w:r w:rsidRPr="00AB36CC">
        <w:rPr>
          <w:rFonts w:ascii="Times New Roman" w:eastAsia="Times New Roman" w:hAnsi="Times New Roman" w:cs="Times New Roman"/>
          <w:iCs/>
          <w:color w:val="000000"/>
          <w:sz w:val="24"/>
          <w:szCs w:val="24"/>
          <w:bdr w:val="none" w:sz="0" w:space="0" w:color="auto" w:frame="1"/>
          <w:lang w:val="es-ES_tradnl" w:eastAsia="en-US"/>
        </w:rPr>
        <w:t xml:space="preserve">A partir de la expedición de la presente Ley, las entidades estatales o públicas del orden nacional con excepción de las </w:t>
      </w:r>
      <w:r w:rsidRPr="00AB36CC">
        <w:rPr>
          <w:rFonts w:ascii="Times New Roman" w:eastAsia="Times New Roman" w:hAnsi="Times New Roman" w:cs="Times New Roman"/>
          <w:iCs/>
          <w:color w:val="000000"/>
          <w:sz w:val="24"/>
          <w:szCs w:val="24"/>
          <w:bdr w:val="none" w:sz="0" w:space="0" w:color="auto" w:frame="1"/>
          <w:lang w:val="es-ES_tradnl" w:eastAsia="en-US"/>
        </w:rPr>
        <w:lastRenderedPageBreak/>
        <w:t>entidades financieras de carácter estatal, las Empresas Industriales y Comerciales del Estado, las Sociedades de Economía Mixta y las entidades en liquidación, deberán vender la cartera con más de ciento ochenta (180) días de vencida al colector de activos de la Nación, Central de Inversiones (CISA), para que este las gestione.</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 </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Respecto de la cartera de naturaleza coactiva, las entidades de que trata este artículo, al igual que las de orden territorial, podrán enajenarla a CISA, quien para su recuperación podrá aplicar sus políticas de descuento y podrá dar aplicación al mecanismo de notificación electrónica de que trata el artículo 566-1 del Estatuto Tributario, que también aplicará para cualquier acto derivado del procedimiento establecido en el artículo 823 del referido Estatuto y demás normas que lo complementen o modifiquen. Se entenderá que los titulares de datos personales autorizan expresamente la notificación a través de este medio, de conformidad con lo previsto en el artículo 56 de la Ley 1437 de 2011.</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 </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CISA en su condición de colector de activos públicos de la Nación, tendrá acceso a las bases del Registro Único Tributario (RUT) y el Registro Único Nacional de Transito (RUNT) para obtener la información de correo electrónico de los deudores.</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 </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 xml:space="preserve">En los eventos en que la cartera sea de imposible recudo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estatales o públicas del orden nacional, podrán realizar la depuración definitiva de estos saldos contables, realizando un informe detallado de las causales por las cuales se depura y las excluirá de la gestión. </w:t>
      </w:r>
      <w:r w:rsidRPr="00AB36CC">
        <w:rPr>
          <w:rFonts w:ascii="Times New Roman" w:eastAsia="Times New Roman" w:hAnsi="Times New Roman" w:cs="Times New Roman"/>
          <w:iCs/>
          <w:color w:val="000000"/>
          <w:sz w:val="24"/>
          <w:szCs w:val="24"/>
          <w:highlight w:val="yellow"/>
          <w:bdr w:val="none" w:sz="0" w:space="0" w:color="auto" w:frame="1"/>
          <w:lang w:val="es-ES_tradnl"/>
        </w:rPr>
        <w:t>El Gobierno nacional reglamentará la materia</w:t>
      </w:r>
      <w:r w:rsidRPr="00AB36CC">
        <w:rPr>
          <w:rFonts w:ascii="Times New Roman" w:eastAsia="Times New Roman" w:hAnsi="Times New Roman" w:cs="Times New Roman"/>
          <w:iCs/>
          <w:color w:val="000000"/>
          <w:sz w:val="24"/>
          <w:szCs w:val="24"/>
          <w:bdr w:val="none" w:sz="0" w:space="0" w:color="auto" w:frame="1"/>
          <w:lang w:val="es-ES_tradnl"/>
        </w:rPr>
        <w:t>. Los recursos obtenidos por esta venta serán girados por los plazos fijados por CISA atendiendo sus disponibilidades de caja así: i) Al Tesoro Nacional en el caso de las entidades que hacen parte del presupuesto nacional; y ii) directamente a los patrimonios autónomos de remanentes y a las entidades pertenecientes al sector descentralizado del nivel nacional, cobijados por lo dispuesto en el artículo 238 de la Ley 1450 de 2011, así como los fondos especiales cuya ley de creación incluya ingresos de capital por venta de bienes propios de las entidades a las que están adscritos como fuentes de recursos.</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 </w:t>
      </w:r>
    </w:p>
    <w:p w:rsidR="002167DE" w:rsidRPr="00AB36CC" w:rsidRDefault="002167DE" w:rsidP="002167DE">
      <w:pPr>
        <w:shd w:val="clear" w:color="auto" w:fill="FFFFFF"/>
        <w:spacing w:after="0" w:line="235" w:lineRule="atLeast"/>
        <w:jc w:val="both"/>
        <w:rPr>
          <w:rFonts w:ascii="Times New Roman" w:eastAsia="Times New Roman" w:hAnsi="Times New Roman" w:cs="Times New Roman"/>
          <w:color w:val="000000"/>
          <w:sz w:val="24"/>
          <w:szCs w:val="24"/>
          <w:lang w:val="es-ES"/>
        </w:rPr>
      </w:pPr>
      <w:r w:rsidRPr="00AB36CC">
        <w:rPr>
          <w:rFonts w:ascii="Times New Roman" w:eastAsia="Times New Roman" w:hAnsi="Times New Roman" w:cs="Times New Roman"/>
          <w:iCs/>
          <w:color w:val="000000"/>
          <w:sz w:val="24"/>
          <w:szCs w:val="24"/>
          <w:bdr w:val="none" w:sz="0" w:space="0" w:color="auto" w:frame="1"/>
          <w:lang w:val="es-ES_tradnl"/>
        </w:rPr>
        <w:t>CISA causará para efectos fiscales los ingresos que genere el cobro de cartera, solamente cuando se produzca el recaudo efectivo o se produzca su enajenación.</w:t>
      </w:r>
    </w:p>
    <w:p w:rsidR="002167DE" w:rsidRPr="00AB36CC" w:rsidRDefault="002167DE" w:rsidP="002167DE">
      <w:pPr>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79°. PROGRAMA DE SANEAMIENTO FISCAL Y FINANCIERO.</w:t>
      </w:r>
      <w:r w:rsidRPr="00AB36CC">
        <w:rPr>
          <w:rFonts w:ascii="Times New Roman" w:hAnsi="Times New Roman" w:cs="Times New Roman"/>
          <w:sz w:val="24"/>
          <w:szCs w:val="24"/>
          <w:lang w:val="es-CO"/>
        </w:rPr>
        <w:t xml:space="preserve"> Se entiende por Programa de Saneamiento Fiscal y Financiero de Empresas Sociales del Estado, un programa integral, institucional, financiero y administrativo, que tiene por objeto restablecer la solidez económica y financiera de estas Empresas y asegurar la continuidad, la calidad y la oportunidad en la prestación del servicio público de salud, respetando, en todo caso, lo señalado por el artículo 24 de la Ley 1751 de 2015.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lastRenderedPageBreak/>
        <w:t xml:space="preserve">El Ministerio de Hacienda y Crédito Público definirá los parámetros generales de adopción, seguimiento y evaluación de los programas a que hace referencia este artículo y tendrá a cargo la viabilidad y evaluación de los mismos.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Las Empresas Sociales del Estado categorizadas en riesgo medio o alto, deberán adoptar un programa de saneamiento fiscal y financiero, con el acompañamiento de la dirección departamental o distrital de salud, conforme a la reglamentación y la metodología que defina el Ministerio de Hacienda y Crédito Público.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Las Empresas Sociales del Estado cuyos Programas de Saneamiento Fiscal y Financiero se encuentren en proceso de viabilidad o debidamente viabilizados por el Ministerio de Hacienda y Crédito Público, a la fecha de entrada en vigencia de la presente Ley, no serán objeto de categorización del riesgo hasta tanto el Programa no se encuentre culminado.</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Los recursos que destine la Nación, las entidades territoriales, las Leyes 1608 de 2013, 1797 de 2016 y demás disposiciones, </w:t>
      </w:r>
      <w:r w:rsidRPr="00AB36CC">
        <w:rPr>
          <w:rFonts w:ascii="Times New Roman" w:hAnsi="Times New Roman" w:cs="Times New Roman"/>
          <w:sz w:val="24"/>
          <w:szCs w:val="24"/>
          <w:highlight w:val="yellow"/>
        </w:rPr>
        <w:t>se podrán aplicar conforme a la reglamentación definida por el Ministerio de Hacienda y Crédito Público.</w:t>
      </w: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b/>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PRIMERO.</w:t>
      </w:r>
      <w:r w:rsidRPr="00AB36CC">
        <w:rPr>
          <w:rFonts w:ascii="Times New Roman" w:hAnsi="Times New Roman" w:cs="Times New Roman"/>
          <w:sz w:val="24"/>
          <w:szCs w:val="24"/>
        </w:rPr>
        <w:t xml:space="preserve"> Las Empresas Sociales del Estado que hayan sido remitidas por el Ministerio de Hacienda y Crédito Público a la Superintendencia Nacional de Salud, antes de la entrada en vigencia de la presente ley y que en virtud de la competencia establecida en el artículo 80 de la Ley 1438 de 2011, sean categorizadas en riesgo medio o alto por el Ministerio de Salud y Protección Social, podrán presentar un nuevo Programa de Saneamiento Fiscal y Financiero ante el Ministerio de Hacienda y Crédito Público. </w:t>
      </w:r>
    </w:p>
    <w:p w:rsidR="002167DE" w:rsidRPr="00AB36CC" w:rsidRDefault="002167DE" w:rsidP="002167DE">
      <w:pPr>
        <w:spacing w:afterLines="20" w:after="48" w:line="240" w:lineRule="auto"/>
        <w:jc w:val="both"/>
        <w:rPr>
          <w:rFonts w:ascii="Times New Roman" w:hAnsi="Times New Roman" w:cs="Times New Roman"/>
          <w:b/>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Las fundaciones que sean categorizadas en riesgo medio o alto por el Ministerio de Salud y Protección Social podrán adoptar un Programa de Saneamiento Fiscal y Financiero en las condiciones establecidas en el presente artículo, de conformidad con la reglamentación que para el efecto expida el Ministerio de Hacienda y Crédito Público y acceder a los recursos del Programa de Saneamiento Fiscal y Financiero de que trata la Ley 1608 de 2013 y demás normas. </w:t>
      </w:r>
    </w:p>
    <w:p w:rsidR="002167DE" w:rsidRPr="00AB36CC" w:rsidRDefault="002167DE" w:rsidP="002167DE">
      <w:pPr>
        <w:spacing w:afterLines="20" w:after="48" w:line="240" w:lineRule="auto"/>
        <w:jc w:val="both"/>
        <w:rPr>
          <w:rFonts w:ascii="Times New Roman" w:hAnsi="Times New Roman" w:cs="Times New Roman"/>
          <w:b/>
          <w:sz w:val="24"/>
          <w:szCs w:val="24"/>
        </w:rPr>
      </w:pP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TERCERO</w:t>
      </w:r>
      <w:r w:rsidRPr="00AB36CC">
        <w:rPr>
          <w:rFonts w:ascii="Times New Roman" w:hAnsi="Times New Roman" w:cs="Times New Roman"/>
          <w:sz w:val="24"/>
          <w:szCs w:val="24"/>
        </w:rPr>
        <w:t>. El incumplimiento de lo dispuesto en el presente artículo genera responsabilidad disciplinaria y fiscal para los representantes legales y revisores fiscales, de las entidades territoriales y de las Empresas Sociales del Estado, según corresponda.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CUARTO</w:t>
      </w:r>
      <w:r w:rsidRPr="00AB36CC">
        <w:rPr>
          <w:rFonts w:ascii="Times New Roman" w:hAnsi="Times New Roman" w:cs="Times New Roman"/>
          <w:sz w:val="24"/>
          <w:szCs w:val="24"/>
        </w:rPr>
        <w:t>. El Ministerio de Hacienda y Crédito Público remitirá a la Superintendencia Nacional de Salud la información de las Empresas Sociales del Estado que, de acuerdo con las evaluaciones realizadas por el Ministerio incumplan el Programa de Saneamiento Fiscal y Financiero, para que la Superintendencia Nacional de Salud adelante las actuaciones a que haya lugar, de conformidad con el marco de sus competencias.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lastRenderedPageBreak/>
        <w:t>ARTÍCULO 91°. REGISTRO ÚNICO DE PREDIOS Y TERRITORIOS ABANDONADOS - RUPTA.</w:t>
      </w:r>
      <w:r w:rsidRPr="00AB36CC">
        <w:rPr>
          <w:rFonts w:ascii="Times New Roman" w:hAnsi="Times New Roman" w:cs="Times New Roman"/>
          <w:sz w:val="24"/>
          <w:szCs w:val="24"/>
          <w:lang w:val="es-CO"/>
        </w:rPr>
        <w:t xml:space="preserve"> Modifíquese el artículo 76 de la Ley 1448 de 2011 el cual 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ARTÍCULO 76. REGISTRO ÚNICO DE PREDIOS Y TERRITORIOS ABANDONADOS - RUPTA. La inscripción en el RUPTA procederá de oficio, o por solicitud del interesado y deberá realizarse dentro de los dos (2) años siguientes al hecho </w:t>
      </w:r>
      <w:proofErr w:type="spellStart"/>
      <w:r w:rsidRPr="00AB36CC">
        <w:rPr>
          <w:rFonts w:ascii="Times New Roman" w:hAnsi="Times New Roman" w:cs="Times New Roman"/>
          <w:sz w:val="24"/>
          <w:szCs w:val="24"/>
        </w:rPr>
        <w:t>victimizante</w:t>
      </w:r>
      <w:proofErr w:type="spellEnd"/>
      <w:r w:rsidRPr="00AB36CC">
        <w:rPr>
          <w:rFonts w:ascii="Times New Roman" w:hAnsi="Times New Roman" w:cs="Times New Roman"/>
          <w:sz w:val="24"/>
          <w:szCs w:val="24"/>
        </w:rPr>
        <w:t>, salvo fuerza mayor o caso fortuito.</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La cancelación en el RUPTA procederá en cualquier tiempo respecto de medidas individuales o colectivas, de oficio o por solicitud del beneficiario de la medida o del propietario del predio. Una vez recibida la solicitud, o iniciado el trámite de oficio, la Unidad Administrativa Especial de Gestión de Restitución de Tierras Despojadas, comunicará dicho trámite a través del medio más eficaz a quienes puedan verse directamente afectados por la decisión, a fin de que puedan intervenir en el trámite administrativo para aprobar las pruebas que se pretenden hacer valer. La referida Unidad tendrá un término de sesenta (60) días contados a partir del momento en que acometa el estudio para decidir sobre la inclusión o cancelación en el RUPTA. Este término podrá ser prorrogado hasta por treinta (30) días, cuando existan o sobrevengan circunstancias que lo justifiquen. </w:t>
      </w:r>
      <w:r w:rsidRPr="00AB36CC">
        <w:rPr>
          <w:rFonts w:ascii="Times New Roman" w:hAnsi="Times New Roman" w:cs="Times New Roman"/>
          <w:sz w:val="24"/>
          <w:szCs w:val="24"/>
          <w:highlight w:val="yellow"/>
        </w:rPr>
        <w:t>El Gobierno nacional reglamentará este procedimiento administrativo especial, en armonía con la Ley 1448 de 2011.</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1"/>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ARTÍCULO 138°. REGISTRO ÚNICO DE DECISIONES JUDICIALES EN MATERIA PENAL Y JURISDICCIONES ESPECIALES</w:t>
      </w:r>
      <w:r w:rsidRPr="00AB36CC">
        <w:rPr>
          <w:rFonts w:ascii="Times New Roman" w:hAnsi="Times New Roman" w:cs="Times New Roman"/>
          <w:sz w:val="24"/>
          <w:szCs w:val="24"/>
        </w:rPr>
        <w:t xml:space="preserve">. Créase el Registro Único de Decisiones Judiciales en Materia Penal y jurisdicciones especiales, administrado por la Policía Nacional - Dirección de Investigación Criminal e Interpol.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El administrador garantizará a la Fiscalía General de la Nación y demás autoridades judiciales, el acceso, consulta y actualización al </w:t>
      </w:r>
      <w:proofErr w:type="gramStart"/>
      <w:r w:rsidRPr="00AB36CC">
        <w:rPr>
          <w:rFonts w:ascii="Times New Roman" w:hAnsi="Times New Roman" w:cs="Times New Roman"/>
          <w:sz w:val="24"/>
          <w:szCs w:val="24"/>
        </w:rPr>
        <w:t>Registro</w:t>
      </w:r>
      <w:proofErr w:type="gramEnd"/>
      <w:r w:rsidRPr="00AB36CC">
        <w:rPr>
          <w:rFonts w:ascii="Times New Roman" w:hAnsi="Times New Roman" w:cs="Times New Roman"/>
          <w:sz w:val="24"/>
          <w:szCs w:val="24"/>
        </w:rPr>
        <w:t xml:space="preserve"> así como la protección del derecho del habeas data de los ciudadanos. Este registro contendrá los antecedentes penales, requerimientos, anotaciones, sentencias y demás decisiones judiciales que hagan tránsito a cosa juzgada, proferidas por la Jurisdicción Ordinaria, la Justicia Penal Militar, la Jurisdicción Especial para la Paz y demás jurisdicciones especiales reconocidas por la Constitución Política.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las materias necesarias para garantizar el funcionamiento del registro y el proceso de actualización de la información.</w:t>
      </w:r>
    </w:p>
    <w:p w:rsidR="009135D3" w:rsidRPr="00AB36CC" w:rsidRDefault="009135D3"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b/>
          <w:bCs/>
          <w:sz w:val="24"/>
          <w:szCs w:val="24"/>
          <w:lang w:val="es-CO"/>
        </w:rPr>
      </w:pPr>
      <w:r w:rsidRPr="00AB36CC">
        <w:rPr>
          <w:rFonts w:ascii="Times New Roman" w:hAnsi="Times New Roman" w:cs="Times New Roman"/>
          <w:b/>
          <w:bCs/>
          <w:sz w:val="24"/>
          <w:szCs w:val="24"/>
          <w:lang w:val="es-CO"/>
        </w:rPr>
        <w:t xml:space="preserve">ARTÍCULO 151º. LIQUIDACIÓN DE SOCIEDADES NO OPERATIVAS SUJETAS A LA INSPECCIÓN, VIGILANCIA Y CONTROL DE LA SUPERINTENDENCIA DE SOCIEDADES. </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lastRenderedPageBreak/>
        <w:t xml:space="preserve">Las sociedades mercantiles sujetas a la supervisión de la Superintendencia de Sociedades, que no renueven su matrícula mercantil por un término de tres (3) años o que no envíen la información requerida por dicha Superintendencia durante el mismo término, se presumirán como no operativas y, podrán ser declaradas de oficio como disueltas por la Superintendencia de Sociedades, salvo demostración en contrario de su parte. </w:t>
      </w:r>
    </w:p>
    <w:p w:rsidR="002167DE" w:rsidRPr="00AB36CC" w:rsidRDefault="002167DE" w:rsidP="002167DE">
      <w:pPr>
        <w:spacing w:afterLines="20" w:after="48" w:line="240" w:lineRule="auto"/>
        <w:jc w:val="both"/>
        <w:rPr>
          <w:rFonts w:ascii="Times New Roman" w:hAnsi="Times New Roman" w:cs="Times New Roman"/>
          <w:b/>
          <w:bCs/>
          <w:sz w:val="24"/>
          <w:szCs w:val="24"/>
        </w:rPr>
      </w:pPr>
    </w:p>
    <w:p w:rsidR="002167DE" w:rsidRPr="00AB36CC" w:rsidRDefault="002167DE" w:rsidP="002167DE">
      <w:pPr>
        <w:spacing w:afterLines="20" w:after="48" w:line="240" w:lineRule="auto"/>
        <w:jc w:val="both"/>
        <w:rPr>
          <w:rFonts w:ascii="Times New Roman" w:hAnsi="Times New Roman" w:cs="Times New Roman"/>
          <w:b/>
          <w:sz w:val="24"/>
          <w:szCs w:val="24"/>
        </w:rPr>
      </w:pPr>
      <w:r w:rsidRPr="00AB36CC">
        <w:rPr>
          <w:rFonts w:ascii="Times New Roman" w:hAnsi="Times New Roman" w:cs="Times New Roman"/>
          <w:b/>
          <w:bCs/>
          <w:sz w:val="24"/>
          <w:szCs w:val="24"/>
        </w:rPr>
        <w:t xml:space="preserve">PARÁGRAFO. </w:t>
      </w:r>
      <w:r w:rsidRPr="00AB36CC">
        <w:rPr>
          <w:rFonts w:ascii="Times New Roman" w:hAnsi="Times New Roman" w:cs="Times New Roman"/>
          <w:sz w:val="24"/>
          <w:szCs w:val="24"/>
          <w:highlight w:val="yellow"/>
        </w:rPr>
        <w:t>El Gobierno nacional establecerá y reglamentará la aplicación del procedimiento objeto del presente artículo.</w:t>
      </w:r>
      <w:r w:rsidRPr="00AB36CC">
        <w:rPr>
          <w:rFonts w:ascii="Times New Roman" w:hAnsi="Times New Roman" w:cs="Times New Roman"/>
          <w:b/>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bCs/>
          <w:sz w:val="24"/>
          <w:szCs w:val="24"/>
          <w:lang w:val="es-CO"/>
        </w:rPr>
        <w:t xml:space="preserve">ARTÍCULO 168º. EMISIONES PARA PEQUEÑAS Y MEDIANAS EMPRESAS. </w:t>
      </w:r>
      <w:r w:rsidRPr="00AB36CC">
        <w:rPr>
          <w:rFonts w:ascii="Times New Roman" w:hAnsi="Times New Roman" w:cs="Times New Roman"/>
          <w:sz w:val="24"/>
          <w:szCs w:val="24"/>
          <w:lang w:val="es-CO"/>
        </w:rPr>
        <w:t xml:space="preserve">El Gobierno nacional creará un modelo de emisiones de acciones o de instrumentos de crédito, de hasta 584.000 unidades de valor tributario - UVT por cada emisor, para pequeñas y medianas empresas, en el cual se establecerán condiciones que faciliten su proceso de emisión. Así mismo, serán negociados a través de un sistema autorizado por la Superintendencia Financiera de Colombia, al cual concurrirán inversionistas y emisores, para efectuar operaciones primarias y secundarias de compra y venta. </w:t>
      </w:r>
      <w:r w:rsidRPr="00AB36CC">
        <w:rPr>
          <w:rFonts w:ascii="Times New Roman" w:hAnsi="Times New Roman" w:cs="Times New Roman"/>
          <w:sz w:val="24"/>
          <w:szCs w:val="24"/>
          <w:highlight w:val="yellow"/>
          <w:lang w:val="es-CO"/>
        </w:rPr>
        <w:t>El Gobierno nacional reglamentará la materia</w:t>
      </w:r>
      <w:r w:rsidRPr="00AB36CC">
        <w:rPr>
          <w:rFonts w:ascii="Times New Roman" w:hAnsi="Times New Roman" w:cs="Times New Roman"/>
          <w:sz w:val="24"/>
          <w:szCs w:val="24"/>
          <w:lang w:val="es-CO"/>
        </w:rPr>
        <w:t>.</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1"/>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 xml:space="preserve">ARTÍCULO 171º. CONSTITUCIÓN DE EMPRESAS DE DESARROLLOS TECNOLÓGICOS INNOVADORES. </w:t>
      </w:r>
      <w:r w:rsidRPr="00AB36CC">
        <w:rPr>
          <w:rFonts w:ascii="Times New Roman" w:hAnsi="Times New Roman" w:cs="Times New Roman"/>
          <w:sz w:val="24"/>
          <w:szCs w:val="24"/>
          <w:lang w:val="es-CO"/>
        </w:rPr>
        <w:t>Quienes se propongan implementar desarrollos tecnológicos innovadores para realizar actividades propias de las entidades vigiladas por la Superintendencia Financiera, podrán constituir una de estas entidades y obtener un certificado para operar temporalmente, de acuerdo con las condiciones, requisitos y requerimientos prudenciales, incluyendo la determinación o aplicación de capitales mínimos, de acuerdo con la reglamentación que para el efecto expida el Gobierno nacional. Dicho certificado de operación temporal no excederá de dos (2) años y podrá ser revocado en cualquier momento por la Superintendencia Financiera.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La Superintendencia Financiera autorizará la constitución de estas entidades y otorgará el respectivo certificado de funcionamiento, conforme al procedimiento que se establezca para el efecto. En desarrollo de esta disposición, el Gobierno nacional podrá determinar los montos mínimos de capital que deberán acreditarse para solicitar la constitución de las entidades sometidas al control y vigilancia de la Superintendencia Financiera de Colombia, el cual podrá estar diferenciado en función de las operaciones autorizadas por la Superintendencia Financiera de Colombia, en los términos del numeral 2 del artículo 53 del Estatuto Orgánico del Sistema Financiero.</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PRIMERO</w:t>
      </w:r>
      <w:r w:rsidRPr="00AB36CC">
        <w:rPr>
          <w:rFonts w:ascii="Times New Roman" w:hAnsi="Times New Roman" w:cs="Times New Roman"/>
          <w:sz w:val="24"/>
          <w:szCs w:val="24"/>
        </w:rPr>
        <w:t>. Con sujeción a las condiciones, requisitos y requerimientos prudenciales que establezca la reglamentación a la que se refiere el presente artículo, las entidades vigiladas por la Superintendencia Financiera de Colombia podrán implementar desarrollos tecnológicos innovadores para probar temporalmente nuevos productos o servicios, bajo la supervisión de dicha Superintendencia, por el término indicado en este artículo.</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lastRenderedPageBreak/>
        <w:t xml:space="preserve">PARÁGRAFO SEGUNDO. </w:t>
      </w:r>
      <w:r w:rsidRPr="00AB36CC">
        <w:rPr>
          <w:rFonts w:ascii="Times New Roman" w:hAnsi="Times New Roman" w:cs="Times New Roman"/>
          <w:sz w:val="24"/>
          <w:szCs w:val="24"/>
        </w:rPr>
        <w:t>El Gobierno nacional a través de la Comisión Intersectorial para la Inclusión Financiera articulará las medidas y políticas tendientes a desarrollar mecanismos de financiación para empresas y emprendedores, con el propósito de evitar duplicidad y que se diseñen instrumentos adecuados para las diferentes etapas de desarrollo empresarial</w:t>
      </w:r>
      <w:r w:rsidR="009135D3" w:rsidRPr="00AB36CC">
        <w:rPr>
          <w:rFonts w:ascii="Times New Roman" w:hAnsi="Times New Roman" w:cs="Times New Roman"/>
          <w:sz w:val="24"/>
          <w:szCs w:val="24"/>
        </w:rPr>
        <w:t>.</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4"/>
        </w:numPr>
        <w:spacing w:after="0"/>
        <w:jc w:val="both"/>
        <w:rPr>
          <w:rFonts w:ascii="Times New Roman" w:hAnsi="Times New Roman" w:cs="Times New Roman"/>
          <w:sz w:val="24"/>
          <w:szCs w:val="24"/>
        </w:rPr>
      </w:pPr>
      <w:r w:rsidRPr="00AB36CC">
        <w:rPr>
          <w:rFonts w:ascii="Times New Roman" w:hAnsi="Times New Roman" w:cs="Times New Roman"/>
          <w:b/>
          <w:sz w:val="24"/>
          <w:szCs w:val="24"/>
        </w:rPr>
        <w:t xml:space="preserve">ARTÍCULO </w:t>
      </w:r>
      <w:r w:rsidRPr="00AB36CC">
        <w:rPr>
          <w:rFonts w:ascii="Times New Roman" w:hAnsi="Times New Roman" w:cs="Times New Roman"/>
          <w:b/>
          <w:sz w:val="24"/>
          <w:szCs w:val="24"/>
          <w:lang w:val="es-ES"/>
        </w:rPr>
        <w:t>177º</w:t>
      </w:r>
      <w:r w:rsidRPr="00AB36CC">
        <w:rPr>
          <w:rFonts w:ascii="Times New Roman" w:hAnsi="Times New Roman" w:cs="Times New Roman"/>
          <w:b/>
          <w:sz w:val="24"/>
          <w:szCs w:val="24"/>
        </w:rPr>
        <w:t>.</w:t>
      </w:r>
      <w:r w:rsidRPr="00AB36CC">
        <w:rPr>
          <w:rFonts w:ascii="Times New Roman" w:hAnsi="Times New Roman" w:cs="Times New Roman"/>
          <w:sz w:val="24"/>
          <w:szCs w:val="24"/>
        </w:rPr>
        <w:t xml:space="preserve"> </w:t>
      </w:r>
      <w:r w:rsidRPr="00AB36CC">
        <w:rPr>
          <w:rFonts w:ascii="Times New Roman" w:hAnsi="Times New Roman" w:cs="Times New Roman"/>
          <w:b/>
          <w:sz w:val="24"/>
          <w:szCs w:val="24"/>
        </w:rPr>
        <w:t xml:space="preserve">SISTEMA NACIONAL DE COMPETITIVIDAD E INNOVACIÓN – SNCI. </w:t>
      </w:r>
      <w:r w:rsidRPr="00AB36CC">
        <w:rPr>
          <w:rFonts w:ascii="Times New Roman" w:hAnsi="Times New Roman" w:cs="Times New Roman"/>
          <w:sz w:val="24"/>
          <w:szCs w:val="24"/>
        </w:rPr>
        <w:t>Créese el Sistema Nacional de Competitividad e Innovación – SNCI con el objetivo de fortalecer la competitividad , en el marco de este sistema y a través de la Comisión Nacional de Competitividad e Innovación, se articularán los siguientes sistemas: el Sistema Nacional de Ciencia, Tecnología e Innovación – SNCTI; el Sistema Nacional de Innovación Agropecuaria – SNIA; la Comisión  Intersectorial de Propiedad Intelectual – CIPI; el Consejo Nacional de Economía Naranja – CNEN; el Sistema Nacional Ambiental – SINA y los demás sistemas, órganos e instancias relacionadas con competitividad , productividad e innovación, y coordinar la elaboración, implementación y seguimiento de la agenda Nacional de Competitividad e Innovación.</w:t>
      </w:r>
    </w:p>
    <w:p w:rsidR="009135D3" w:rsidRPr="00AB36CC" w:rsidRDefault="009135D3" w:rsidP="009135D3">
      <w:pPr>
        <w:spacing w:after="0"/>
        <w:jc w:val="both"/>
        <w:rPr>
          <w:rFonts w:ascii="Times New Roman" w:hAnsi="Times New Roman" w:cs="Times New Roman"/>
          <w:sz w:val="24"/>
          <w:szCs w:val="24"/>
        </w:rPr>
      </w:pPr>
    </w:p>
    <w:p w:rsidR="009135D3" w:rsidRPr="00AB36CC" w:rsidRDefault="009135D3" w:rsidP="009135D3">
      <w:pPr>
        <w:spacing w:after="0"/>
        <w:jc w:val="both"/>
        <w:rPr>
          <w:rFonts w:ascii="Times New Roman" w:hAnsi="Times New Roman" w:cs="Times New Roman"/>
          <w:sz w:val="24"/>
          <w:szCs w:val="24"/>
        </w:rPr>
      </w:pPr>
      <w:r w:rsidRPr="00AB36CC">
        <w:rPr>
          <w:rFonts w:ascii="Times New Roman" w:hAnsi="Times New Roman" w:cs="Times New Roman"/>
          <w:sz w:val="24"/>
          <w:szCs w:val="24"/>
        </w:rPr>
        <w:t>Las distintas instancias regionales, departamentales y territoriales de los sistemas que coordinan en la Comisión Nacional de Competitividad e Innovación se articularán en las Comisiones Regionales de Competitividad e Innovación con el objetivo de fortalecer la competitividad.</w:t>
      </w:r>
    </w:p>
    <w:p w:rsidR="009135D3" w:rsidRPr="00AB36CC" w:rsidRDefault="009135D3" w:rsidP="009135D3">
      <w:pPr>
        <w:spacing w:after="0"/>
        <w:jc w:val="both"/>
        <w:rPr>
          <w:rFonts w:ascii="Times New Roman" w:hAnsi="Times New Roman" w:cs="Times New Roman"/>
          <w:sz w:val="24"/>
          <w:szCs w:val="24"/>
        </w:rPr>
      </w:pPr>
    </w:p>
    <w:p w:rsidR="009135D3" w:rsidRPr="00AB36CC" w:rsidRDefault="009135D3" w:rsidP="009135D3">
      <w:pPr>
        <w:spacing w:after="0"/>
        <w:jc w:val="both"/>
        <w:rPr>
          <w:rFonts w:ascii="Times New Roman" w:hAnsi="Times New Roman" w:cs="Times New Roman"/>
          <w:sz w:val="24"/>
          <w:szCs w:val="24"/>
        </w:rPr>
      </w:pPr>
      <w:r w:rsidRPr="00AB36CC">
        <w:rPr>
          <w:rFonts w:ascii="Times New Roman" w:hAnsi="Times New Roman" w:cs="Times New Roman"/>
          <w:sz w:val="24"/>
          <w:szCs w:val="24"/>
        </w:rPr>
        <w:t>Las comisiones Regionales de Competitividad e Innovación promoverán la implementación de la Agenda Departamental de Competitividad e Innovación, la cual se articulará con la Agenda Nacional en el marco del Sistema Nacional de Competitividad e Innovación.</w:t>
      </w:r>
    </w:p>
    <w:p w:rsidR="009135D3" w:rsidRPr="00AB36CC" w:rsidRDefault="009135D3" w:rsidP="009135D3">
      <w:pPr>
        <w:spacing w:after="0"/>
        <w:jc w:val="both"/>
        <w:rPr>
          <w:rFonts w:ascii="Times New Roman" w:hAnsi="Times New Roman" w:cs="Times New Roman"/>
          <w:sz w:val="24"/>
          <w:szCs w:val="24"/>
        </w:rPr>
      </w:pPr>
    </w:p>
    <w:p w:rsidR="009135D3" w:rsidRPr="00AB36CC" w:rsidRDefault="009135D3" w:rsidP="009135D3">
      <w:pPr>
        <w:spacing w:after="0"/>
        <w:jc w:val="both"/>
        <w:rPr>
          <w:rFonts w:ascii="Times New Roman" w:hAnsi="Times New Roman" w:cs="Times New Roman"/>
          <w:sz w:val="24"/>
          <w:szCs w:val="24"/>
        </w:rPr>
      </w:pPr>
      <w:r w:rsidRPr="00AB36CC">
        <w:rPr>
          <w:rFonts w:ascii="Times New Roman" w:hAnsi="Times New Roman" w:cs="Times New Roman"/>
          <w:b/>
          <w:sz w:val="24"/>
          <w:szCs w:val="24"/>
        </w:rPr>
        <w:t>PARÁGRAFO PRIMERO.</w:t>
      </w:r>
      <w:r w:rsidRPr="00AB36CC">
        <w:rPr>
          <w:rFonts w:ascii="Times New Roman" w:hAnsi="Times New Roman" w:cs="Times New Roman"/>
          <w:sz w:val="24"/>
          <w:szCs w:val="24"/>
        </w:rPr>
        <w:t xml:space="preserve"> La coordinación general y secretaria técnica de la Comisión Nacional de Competitividad e Innovación estará a cargo del Departamento Administrativo de la Presidencia de la Republica.</w:t>
      </w:r>
    </w:p>
    <w:p w:rsidR="009135D3" w:rsidRPr="00AB36CC" w:rsidRDefault="009135D3" w:rsidP="009135D3">
      <w:pPr>
        <w:spacing w:after="0"/>
        <w:jc w:val="both"/>
        <w:rPr>
          <w:rFonts w:ascii="Times New Roman" w:hAnsi="Times New Roman" w:cs="Times New Roman"/>
          <w:sz w:val="24"/>
          <w:szCs w:val="24"/>
        </w:rPr>
      </w:pPr>
    </w:p>
    <w:p w:rsidR="009135D3" w:rsidRPr="00AB36CC" w:rsidRDefault="009135D3" w:rsidP="009135D3">
      <w:pPr>
        <w:spacing w:after="0"/>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El Gobierno nacional reglamentará la organización, articulación y funcionamiento del Sistema Nacional de Competitividad e Innovación</w:t>
      </w:r>
      <w:r w:rsidRPr="00AB36CC">
        <w:rPr>
          <w:rFonts w:ascii="Times New Roman" w:hAnsi="Times New Roman" w:cs="Times New Roman"/>
          <w:sz w:val="24"/>
          <w:szCs w:val="24"/>
        </w:rPr>
        <w:t>.</w:t>
      </w:r>
    </w:p>
    <w:p w:rsidR="009135D3" w:rsidRPr="00AB36CC" w:rsidRDefault="009135D3"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185°. ÁREAS DE DESARROLLO NARANJA</w:t>
      </w:r>
      <w:r w:rsidRPr="00AB36CC">
        <w:rPr>
          <w:rFonts w:ascii="Times New Roman" w:hAnsi="Times New Roman" w:cs="Times New Roman"/>
          <w:sz w:val="24"/>
          <w:szCs w:val="24"/>
          <w:lang w:val="es-CO"/>
        </w:rPr>
        <w:t xml:space="preserve">. Se entiende por Áreas de Desarrollo Naranja -ADN los espacios geográficos que sean delimitados y reconocidos a través de instrumentos de ordenamiento territorial o decisiones administrativas de la entidad territorial, que tengan por objeto incentivar y fortalecer las actividades culturales y creativas previstas en el artículo 2 de la Ley 1834 de 2017. Las ADN basadas en la oferta cultural y creativa son espacios que operan como centros de actividad económica y creativa, contribuyen a la renovación urbana y al mejoramiento del área de ubicación, crean un ambiente propicio en el que confluyen iniciativas en estos campos, fortalecen el emprendimiento, el empleo basado en la creatividad, el turismo, la </w:t>
      </w:r>
      <w:r w:rsidRPr="00AB36CC">
        <w:rPr>
          <w:rFonts w:ascii="Times New Roman" w:hAnsi="Times New Roman" w:cs="Times New Roman"/>
          <w:sz w:val="24"/>
          <w:szCs w:val="24"/>
          <w:lang w:val="es-CO"/>
        </w:rPr>
        <w:lastRenderedPageBreak/>
        <w:t>recuperación del patrimonio cultural construido, la conservación medioambiental, la transferencia de conocimientos, el sentido de pertenencia, la inclusión social y el acceso ciudadano a la oferta cultural y creativa.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Para el desarrollo de cada ADN la autoridad competente podrá definir las actividades culturales y creativas a desarrollar, así como los beneficios normativos y tributarios respectivos.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Para estimular la localización de actividades culturales y creativas en los espacios identificados y crear un ambiente que permita atraer la inversión para mejoras locativas, se podrá promover la exención de un porcentaje del impuesto predial por un tiempo establecido, la exención de un porcentaje del impuesto por la compra o venta de inmuebles y la exención del pago del impuesto de delineación urbana.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En todo caso, las autoridades competentes deben establecer los procedimientos de identificación y registro de los beneficiarios, los procedimientos legales para su operación y los mecanismos de control y seguimiento pertinentes.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En la identificación de los beneficiarios tendrá en cuenta a los residentes de la zona y a aquellos que realizan allí sus actividades culturales y creativas, para buscar un equilibrio con la inversión público y privada que se atraiga.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xml:space="preserve"> Las inversiones que se realicen en Áreas de Desarrollo Naranja - ADN tendrán el mismo beneficio de obras por impuestos previsto en el artículo 71 de la Ley 1943 de 2018, que adiciona el artículo 800-1 al Estatuto Tributario. Las entidades estales declarantes de renta y los particulares que participen en asociaciones público privadas regidas por la Ley 1508 de 2012 para la realización de proyectos de economía creativa y que desarrollen infraestructuras en la forma descrita en el precitado artículo 71, también serán destinatarias de este mecanismo.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Las instancias de evaluación, </w:t>
      </w:r>
      <w:proofErr w:type="spellStart"/>
      <w:r w:rsidRPr="00AB36CC">
        <w:rPr>
          <w:rFonts w:ascii="Times New Roman" w:hAnsi="Times New Roman" w:cs="Times New Roman"/>
          <w:sz w:val="24"/>
          <w:szCs w:val="24"/>
        </w:rPr>
        <w:t>viabilización</w:t>
      </w:r>
      <w:proofErr w:type="spellEnd"/>
      <w:r w:rsidRPr="00AB36CC">
        <w:rPr>
          <w:rFonts w:ascii="Times New Roman" w:hAnsi="Times New Roman" w:cs="Times New Roman"/>
          <w:sz w:val="24"/>
          <w:szCs w:val="24"/>
        </w:rPr>
        <w:t xml:space="preserve"> y aprobación deberán contar con el concepto previo favorable del Ministerio de Cultura. Esta entidad deberá conformar un banco de proyectos susceptibles de contar con viabilidad técnica y presupuesta para recibir el amparo de que trata este artículo y que puedan llevarse a cabo en </w:t>
      </w:r>
      <w:proofErr w:type="gramStart"/>
      <w:r w:rsidRPr="00AB36CC">
        <w:rPr>
          <w:rFonts w:ascii="Times New Roman" w:hAnsi="Times New Roman" w:cs="Times New Roman"/>
          <w:sz w:val="24"/>
          <w:szCs w:val="24"/>
        </w:rPr>
        <w:t>las ADN</w:t>
      </w:r>
      <w:proofErr w:type="gramEnd"/>
      <w:r w:rsidRPr="00AB36CC">
        <w:rPr>
          <w:rFonts w:ascii="Times New Roman" w:hAnsi="Times New Roman" w:cs="Times New Roman"/>
          <w:sz w:val="24"/>
          <w:szCs w:val="24"/>
        </w:rPr>
        <w:t xml:space="preserve"> que se establezcan.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lo previsto en este artículo y tendrá la facultad para definir los topes o montos máximos de los proyectos beneficiarios de obras por impuestos en Áreas de Desarrollo Naranja.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0"/>
        <w:jc w:val="both"/>
        <w:rPr>
          <w:rFonts w:ascii="Times New Roman" w:hAnsi="Times New Roman" w:cs="Times New Roman"/>
          <w:sz w:val="24"/>
          <w:szCs w:val="24"/>
        </w:rPr>
      </w:pPr>
      <w:r w:rsidRPr="00AB36CC">
        <w:rPr>
          <w:rFonts w:ascii="Times New Roman" w:hAnsi="Times New Roman" w:cs="Times New Roman"/>
          <w:sz w:val="24"/>
          <w:szCs w:val="24"/>
        </w:rPr>
        <w:t>y permitan mayor innovación tecnológica entre las unidades productivas.</w:t>
      </w:r>
    </w:p>
    <w:p w:rsidR="009135D3" w:rsidRPr="00AB36CC" w:rsidRDefault="009135D3" w:rsidP="002167DE">
      <w:pPr>
        <w:spacing w:after="0"/>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0"/>
        <w:jc w:val="both"/>
        <w:rPr>
          <w:rFonts w:ascii="Times New Roman" w:hAnsi="Times New Roman" w:cs="Times New Roman"/>
          <w:b/>
          <w:sz w:val="24"/>
          <w:szCs w:val="24"/>
          <w:lang w:val="es-ES"/>
        </w:rPr>
      </w:pPr>
      <w:r w:rsidRPr="00AB36CC">
        <w:rPr>
          <w:rFonts w:ascii="Times New Roman" w:hAnsi="Times New Roman" w:cs="Times New Roman"/>
          <w:b/>
          <w:sz w:val="24"/>
          <w:szCs w:val="24"/>
        </w:rPr>
        <w:t>ARTÍCULO 187</w:t>
      </w:r>
      <w:r w:rsidRPr="00AB36CC">
        <w:rPr>
          <w:rFonts w:ascii="Times New Roman" w:hAnsi="Times New Roman" w:cs="Times New Roman"/>
          <w:b/>
          <w:sz w:val="24"/>
          <w:szCs w:val="24"/>
          <w:lang w:val="es-ES"/>
        </w:rPr>
        <w:t>º</w:t>
      </w:r>
      <w:r w:rsidRPr="00AB36CC">
        <w:rPr>
          <w:rFonts w:ascii="Times New Roman" w:hAnsi="Times New Roman" w:cs="Times New Roman"/>
          <w:b/>
          <w:sz w:val="24"/>
          <w:szCs w:val="24"/>
        </w:rPr>
        <w:t xml:space="preserve">. FOMENTO DE LOS MICROCRÉDITOS. </w:t>
      </w:r>
      <w:r w:rsidRPr="00AB36CC">
        <w:rPr>
          <w:rFonts w:ascii="Times New Roman" w:hAnsi="Times New Roman" w:cs="Times New Roman"/>
          <w:sz w:val="24"/>
          <w:szCs w:val="24"/>
        </w:rPr>
        <w:t xml:space="preserve">En armonía con las Bases del “Plan Nacional de Desarrollo 2018-2022 Pacto por Colombia, Pacto por la </w:t>
      </w:r>
      <w:r w:rsidRPr="00AB36CC">
        <w:rPr>
          <w:rFonts w:ascii="Times New Roman" w:hAnsi="Times New Roman" w:cs="Times New Roman"/>
          <w:sz w:val="24"/>
          <w:szCs w:val="24"/>
        </w:rPr>
        <w:lastRenderedPageBreak/>
        <w:t xml:space="preserve">Equidad”, </w:t>
      </w:r>
      <w:r w:rsidRPr="00AB36CC">
        <w:rPr>
          <w:rFonts w:ascii="Times New Roman" w:hAnsi="Times New Roman" w:cs="Times New Roman"/>
          <w:sz w:val="24"/>
          <w:szCs w:val="24"/>
          <w:highlight w:val="yellow"/>
        </w:rPr>
        <w:t>el Gobierno nacional reglamentará</w:t>
      </w:r>
      <w:r w:rsidRPr="00AB36CC">
        <w:rPr>
          <w:rFonts w:ascii="Times New Roman" w:hAnsi="Times New Roman" w:cs="Times New Roman"/>
          <w:sz w:val="24"/>
          <w:szCs w:val="24"/>
        </w:rPr>
        <w:t xml:space="preserve"> la manera en que se profundicen los microcréditos a través de las entidades del sector financiero como instrumento de formalización de generación de empleo e instrumento para combatir el “gota a gota” o “paga diario”.</w:t>
      </w:r>
      <w:r w:rsidRPr="00AB36CC">
        <w:rPr>
          <w:rFonts w:ascii="Times New Roman" w:hAnsi="Times New Roman" w:cs="Times New Roman"/>
          <w:sz w:val="24"/>
          <w:szCs w:val="24"/>
          <w:lang w:val="es-ES"/>
        </w:rPr>
        <w:t xml:space="preserve"> </w:t>
      </w:r>
    </w:p>
    <w:p w:rsidR="009135D3" w:rsidRPr="00AB36CC" w:rsidRDefault="009135D3" w:rsidP="009135D3">
      <w:pPr>
        <w:spacing w:after="0"/>
        <w:jc w:val="both"/>
        <w:rPr>
          <w:rFonts w:ascii="Times New Roman" w:hAnsi="Times New Roman" w:cs="Times New Roman"/>
          <w:b/>
          <w:sz w:val="24"/>
          <w:szCs w:val="24"/>
          <w:lang w:val="es-ES"/>
        </w:rPr>
      </w:pPr>
    </w:p>
    <w:p w:rsidR="009135D3" w:rsidRPr="00AB36CC" w:rsidRDefault="009135D3" w:rsidP="009135D3">
      <w:pPr>
        <w:spacing w:after="0"/>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xml:space="preserve"> El Gobierno nacional fomentará el desarrollo de cadenas productivas entre empresarios </w:t>
      </w:r>
      <w:proofErr w:type="spellStart"/>
      <w:r w:rsidRPr="00AB36CC">
        <w:rPr>
          <w:rFonts w:ascii="Times New Roman" w:hAnsi="Times New Roman" w:cs="Times New Roman"/>
          <w:sz w:val="24"/>
          <w:szCs w:val="24"/>
        </w:rPr>
        <w:t>MiPymes</w:t>
      </w:r>
      <w:proofErr w:type="spellEnd"/>
      <w:r w:rsidRPr="00AB36CC">
        <w:rPr>
          <w:rFonts w:ascii="Times New Roman" w:hAnsi="Times New Roman" w:cs="Times New Roman"/>
          <w:sz w:val="24"/>
          <w:szCs w:val="24"/>
        </w:rPr>
        <w:t xml:space="preserve"> a través de figuras como la </w:t>
      </w:r>
      <w:proofErr w:type="spellStart"/>
      <w:r w:rsidRPr="00AB36CC">
        <w:rPr>
          <w:rFonts w:ascii="Times New Roman" w:hAnsi="Times New Roman" w:cs="Times New Roman"/>
          <w:sz w:val="24"/>
          <w:szCs w:val="24"/>
        </w:rPr>
        <w:t>Asociatividad</w:t>
      </w:r>
      <w:proofErr w:type="spellEnd"/>
      <w:r w:rsidRPr="00AB36CC">
        <w:rPr>
          <w:rFonts w:ascii="Times New Roman" w:hAnsi="Times New Roman" w:cs="Times New Roman"/>
          <w:sz w:val="24"/>
          <w:szCs w:val="24"/>
        </w:rPr>
        <w:t xml:space="preserve"> que generen valor agregado al producto final y permitan mayor innovación tecnológica entre las unidades productivas.</w:t>
      </w:r>
    </w:p>
    <w:p w:rsidR="009135D3" w:rsidRPr="00AB36CC" w:rsidRDefault="009135D3" w:rsidP="002167DE">
      <w:pPr>
        <w:spacing w:after="0"/>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197°. PISO DE PROTECCIÓN SOCIAL PARA PERSONAS CON INGRESOS INFERIORES A UN SALARIO MÍNIMO.</w:t>
      </w:r>
      <w:r w:rsidRPr="00AB36CC">
        <w:rPr>
          <w:rFonts w:ascii="Times New Roman" w:hAnsi="Times New Roman" w:cs="Times New Roman"/>
          <w:sz w:val="24"/>
          <w:szCs w:val="24"/>
          <w:lang w:val="es-CO"/>
        </w:rPr>
        <w:t xml:space="preserve"> Las personas que tengan relación contractual laboral o por prestación de servicios, por tiempo parcial y que en virtud de ello perciban un ingreso mensual inferior a un (1) Salario Mínimo Mensual Legal Vigente - SMLMV deberán vincularse al Piso de Protección Social que estará integrado por: i) el Régimen Subsidiado del Sistema General de Seguridad en Salud,  ii) el Servicio Social Complementario de Beneficios Económicos Periódicos - BEPS como mecanismo de protección en la vejez y iii) el Seguro Inclusivo que amparará al trabajador de los riesgos derivados de la actividad laboral y de las enfermedades cubiertas por BEPS.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En estos eventos el aporte al programa de los Beneficios Económico Periódicos – BEPS deberá ser asumido enteramente por el empleador o el contratante y corresponderá al 15% del ingreso mensual del trabajador o contratista. De este monto se destinará el 1% para financiar el Fondo de Riesgos Laborales, con el fin de atender el pago de la prima del Seguro Inclusivo.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Sin perjuicio de lo anterior,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 </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PRIMERO.</w:t>
      </w:r>
      <w:r w:rsidRPr="00AB36CC">
        <w:rPr>
          <w:rFonts w:ascii="Times New Roman" w:hAnsi="Times New Roman" w:cs="Times New Roman"/>
          <w:sz w:val="24"/>
          <w:szCs w:val="24"/>
        </w:rPr>
        <w:t xml:space="preserve"> En ningún caso el ahorro en el mecanismo de los Beneficios Económicos Periódicos podrá ser inferior al tope mínimo establecido para ese Servicio Social Complementario.</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El Gobierno nacional reglamentará la materia; así mismo podrá establecer mecanismos para que los vinculados al programa BEPS</w:t>
      </w:r>
      <w:r w:rsidRPr="00AB36CC">
        <w:rPr>
          <w:rFonts w:ascii="Times New Roman" w:hAnsi="Times New Roman" w:cs="Times New Roman"/>
          <w:sz w:val="24"/>
          <w:szCs w:val="24"/>
        </w:rPr>
        <w:t>, realicen ahorros en este servicio social complementario de forma conjunta con la adquisición de bienes y servicios, y para que los trabajadores dependientes cobijados por el presente artículo tengan acceso al sistema de subsidio familiar.</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lastRenderedPageBreak/>
        <w:t>PARÁGRAFO TERCERO.</w:t>
      </w:r>
      <w:r w:rsidRPr="00AB36CC">
        <w:rPr>
          <w:rFonts w:ascii="Times New Roman" w:hAnsi="Times New Roman" w:cs="Times New Roman"/>
          <w:sz w:val="24"/>
          <w:szCs w:val="24"/>
        </w:rPr>
        <w:t xml:space="preserve"> Los empleadores o contratantes que a la entrada en vigencia de la presente Ley cuenten con trabajadores o contratistas afiliados al sistema de seguridad social en su componente contributivo, y que con el propósito de obtener provecho de la reducción de sus aportes en materia de seguridad social desmejoren las condiciones económicas de dichos trabajadores o contratistas mediante la implementación de uno o varios actos o negocios jurídicos artificiosos que conlleve a su afiliación al piso mínimo de protección social, independientemente de cualquier intención subjetiva adicional, serán objeto de procesos de fiscalización preferente en los que podrán ser sancionados por la Unidad de Gestión de Pensiones y Parafiscales - UGPP por no realizar en debida forma los aportes a seguridad social que le correspondan, una vez surtido el debido proceso y ejercido el derecho a la defensa a que haya lugar.</w:t>
      </w:r>
    </w:p>
    <w:p w:rsidR="002167DE" w:rsidRPr="00AB36CC" w:rsidRDefault="002167DE" w:rsidP="002167DE">
      <w:pPr>
        <w:spacing w:afterLines="20" w:after="48" w:line="240" w:lineRule="auto"/>
        <w:jc w:val="both"/>
        <w:rPr>
          <w:rFonts w:ascii="Times New Roman" w:hAnsi="Times New Roman" w:cs="Times New Roman"/>
          <w:b/>
          <w:sz w:val="24"/>
          <w:szCs w:val="24"/>
        </w:rPr>
      </w:pPr>
    </w:p>
    <w:p w:rsidR="009135D3"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CUARTO.</w:t>
      </w:r>
      <w:r w:rsidRPr="00AB36CC">
        <w:rPr>
          <w:rFonts w:ascii="Times New Roman" w:hAnsi="Times New Roman" w:cs="Times New Roman"/>
          <w:sz w:val="24"/>
          <w:szCs w:val="24"/>
        </w:rPr>
        <w:t xml:space="preserve"> Una vez finalizado el periodo de ahorro en el mecanismo de Beneficios Económicos Periódicos – BEPS, el ahorrador tendrá derecho a elegir si recibe la anualidad vitalicia o la devolución del valor ahorrado, caso en el cual no habrá lugar al pago del incentivo periódico, conforme a la normatividad vigente.</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198°. SISTEMA NACIONAL DE CUALIFICACIONES.</w:t>
      </w:r>
      <w:r w:rsidRPr="00AB36CC">
        <w:rPr>
          <w:rFonts w:ascii="Times New Roman" w:hAnsi="Times New Roman" w:cs="Times New Roman"/>
          <w:sz w:val="24"/>
          <w:szCs w:val="24"/>
        </w:rPr>
        <w:t xml:space="preserve"> Créase el Sistema Nacional de Cualificaciones -.SNC como un conjunto de políticas, instrumentos, componentes y procesos necesarios para alinear la educación y formación a las necesidades sociales y productivas del país y que promueve el reconocimiento de aprendizajes, el desarrollo personal y profesional de los ciudadanos, la inserción o reinserción laboral y el desarrollo productivo del país.  Son componentes del SNC: el Marco Nacional de Cualificaciones - MNC, los subsistemas de aseguramiento de la calidad de la educación y la formación, de normalización de competencias y de evaluación y certificación de competencias, el esquema de movilidad educativa y formativa, así como la plataforma de información del SNC.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Se crea el Marco Nacional de Cualificaciones - MNC, para clasificar y estructurar las cualificaciones en un esquema de ocho (8) niveles ordenados y expresados en términos de conocimientos, destrezas y aptitudes, de acuerdo con la secuencialidad y complejidad de los aprendizajes que logran las personas en las diferentes vías de cualificación.</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Se crea el Esquema de Movilidad Educativa y Formativa, para facilitar la movilidad de las personas entre las diferentes vías de cualificación que son la educativa, la formación para el trabajo y el reconocimiento de aprendizajes previos para la certificación de competencias, con el fin de promover las rutas de aprendizaje, las relaciones con el sector productivo y el aprendizaje a lo largo de la vida.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Como una vía de cualificación dentro del Sistema Nacional de Cualificaciones, se crea el Subsistema de Formación para el Trabajo. Esta formación se estructurará en diversos niveles de complejidad, desde los iniciales hasta los más avanzados, de acuerdo con las necesidades del sector productivo. Sus oferentes son el Servicio Nacional de Aprendizaje -  SENA, las Instituciones de Educación para el Trabajo y Desarrollo Humano –ETDH- y las Instituciones </w:t>
      </w:r>
      <w:r w:rsidRPr="00AB36CC">
        <w:rPr>
          <w:rFonts w:ascii="Times New Roman" w:hAnsi="Times New Roman" w:cs="Times New Roman"/>
          <w:sz w:val="24"/>
          <w:szCs w:val="24"/>
        </w:rPr>
        <w:lastRenderedPageBreak/>
        <w:t xml:space="preserve">de Educación Superior con oferta de formación para el trabajo que formen por competencias y cumplan los requisitos y mecanismos que para tal fin se establezcan. </w:t>
      </w:r>
    </w:p>
    <w:p w:rsidR="009135D3" w:rsidRPr="00AB36CC" w:rsidRDefault="009135D3" w:rsidP="009135D3">
      <w:pPr>
        <w:spacing w:afterLines="20" w:after="48" w:line="240" w:lineRule="auto"/>
        <w:jc w:val="both"/>
        <w:rPr>
          <w:rFonts w:ascii="Times New Roman" w:hAnsi="Times New Roman" w:cs="Times New Roman"/>
          <w:b/>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 xml:space="preserve">PARÁGRAFO PRIMERO. </w:t>
      </w:r>
      <w:r w:rsidRPr="00AB36CC">
        <w:rPr>
          <w:rFonts w:ascii="Times New Roman" w:hAnsi="Times New Roman" w:cs="Times New Roman"/>
          <w:sz w:val="24"/>
          <w:szCs w:val="24"/>
        </w:rPr>
        <w:t xml:space="preserve">El Gobierno nacional, con el liderazgo del Ministerio de Educación Nacional y del Ministerio del Trabajo, establecerá la estructura, las condiciones y mecanismos del Subsistema de formación para el trabajo y de sus procesos de aseguramiento de calidad. Para ello, se definirán las competencias de cada uno de estos dos ministerios. </w:t>
      </w:r>
      <w:r w:rsidRPr="00AB36CC">
        <w:rPr>
          <w:rFonts w:ascii="Times New Roman" w:hAnsi="Times New Roman" w:cs="Times New Roman"/>
          <w:sz w:val="24"/>
          <w:szCs w:val="24"/>
          <w:highlight w:val="yellow"/>
        </w:rPr>
        <w:t>El Ministerio del Trabajo reglamentará la oferta y los niveles de la ETDH y el SENA en lo relacionado con la formación para el trabajo.</w:t>
      </w:r>
    </w:p>
    <w:p w:rsidR="009135D3" w:rsidRPr="00AB36CC" w:rsidRDefault="009135D3" w:rsidP="009135D3">
      <w:pPr>
        <w:spacing w:afterLines="20" w:after="48" w:line="240" w:lineRule="auto"/>
        <w:jc w:val="both"/>
        <w:rPr>
          <w:rFonts w:ascii="Times New Roman" w:hAnsi="Times New Roman" w:cs="Times New Roman"/>
          <w:b/>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Los programas de formación para el trabajo por competencias serán estructurados con base en el subsistema de normalización de competencias y el Marco Nacional de Cualificaciones.</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TERCERO.</w:t>
      </w:r>
      <w:r w:rsidRPr="00AB36CC">
        <w:rPr>
          <w:rFonts w:ascii="Times New Roman" w:hAnsi="Times New Roman" w:cs="Times New Roman"/>
          <w:sz w:val="24"/>
          <w:szCs w:val="24"/>
        </w:rPr>
        <w:t xml:space="preserve"> Las condiciones y mecanismos para la acreditación de las entidades públicas certificadoras de competencias laborales, serán reglamentadas por el Ministerio del Trabajo.</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CUARTO.</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El Gobierno nacional reglamentará lo dispuesto en el presente artículo.</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NormalWeb"/>
        <w:numPr>
          <w:ilvl w:val="0"/>
          <w:numId w:val="2"/>
        </w:numPr>
        <w:spacing w:before="0" w:beforeAutospacing="0" w:afterLines="20" w:after="48" w:afterAutospacing="0"/>
        <w:jc w:val="both"/>
        <w:rPr>
          <w:rFonts w:eastAsia="Calibri"/>
          <w:bCs/>
          <w:kern w:val="24"/>
        </w:rPr>
      </w:pPr>
      <w:r w:rsidRPr="00AB36CC">
        <w:rPr>
          <w:rFonts w:eastAsiaTheme="minorEastAsia"/>
          <w:b/>
          <w:bCs/>
          <w:kern w:val="24"/>
        </w:rPr>
        <w:t>ARTÍCULO 202º. PROMOCIÓN DE LOS BENEFICIOS ECONÓMICOS PERIÓDICOS.</w:t>
      </w:r>
      <w:r w:rsidRPr="00AB36CC">
        <w:rPr>
          <w:rFonts w:eastAsiaTheme="minorEastAsia"/>
          <w:kern w:val="24"/>
        </w:rPr>
        <w:t xml:space="preserve"> En el evento en que los afiliados al Sistema General de Pensiones obtengan como prestación sustituta una devolución de saldos o indemnización sustitutiva de vejez, estos recursos serán trasladados al mecanismo de los Beneficios Económicos Periódicos para el reconocimiento de una anualidad vitalicia en las condiciones legales vigentes, excepto en el evento en que el afiliado manifieste su decisión de recibir dicha prestación, dentro de los cuatro (4)</w:t>
      </w:r>
      <w:r w:rsidRPr="00AB36CC">
        <w:rPr>
          <w:rFonts w:eastAsiaTheme="minorEastAsia"/>
          <w:bCs/>
          <w:kern w:val="24"/>
        </w:rPr>
        <w:t xml:space="preserve"> meses</w:t>
      </w:r>
      <w:r w:rsidRPr="00AB36CC">
        <w:rPr>
          <w:rFonts w:eastAsiaTheme="minorEastAsia"/>
          <w:kern w:val="24"/>
        </w:rPr>
        <w:t xml:space="preserve"> siguientes a la notificación</w:t>
      </w:r>
      <w:r w:rsidRPr="00AB36CC">
        <w:rPr>
          <w:rFonts w:eastAsiaTheme="minorEastAsia"/>
          <w:bCs/>
          <w:kern w:val="24"/>
        </w:rPr>
        <w:t xml:space="preserve"> personal </w:t>
      </w:r>
      <w:r w:rsidRPr="00AB36CC">
        <w:rPr>
          <w:rFonts w:eastAsiaTheme="minorEastAsia"/>
          <w:kern w:val="24"/>
        </w:rPr>
        <w:t xml:space="preserve">del documento o acto que la define. Corresponderá a </w:t>
      </w:r>
      <w:proofErr w:type="spellStart"/>
      <w:r w:rsidRPr="00AB36CC">
        <w:rPr>
          <w:rFonts w:eastAsiaTheme="minorEastAsia"/>
          <w:kern w:val="24"/>
        </w:rPr>
        <w:t>Colpensiones</w:t>
      </w:r>
      <w:proofErr w:type="spellEnd"/>
      <w:r w:rsidRPr="00AB36CC">
        <w:rPr>
          <w:rFonts w:eastAsiaTheme="minorEastAsia"/>
          <w:kern w:val="24"/>
        </w:rPr>
        <w:t xml:space="preserve"> con antelación al reconcomiendo de la indemnización sustitutiva o la devolución de saldos en el Régimen de Ahorro Individual, brindar de manera obligatoria a los afiliados, asesoría respecto de los Beneficios Económicos Periódicos. </w:t>
      </w:r>
      <w:r w:rsidRPr="00AB36CC">
        <w:rPr>
          <w:rFonts w:eastAsia="Calibri"/>
          <w:kern w:val="24"/>
          <w:highlight w:val="yellow"/>
        </w:rPr>
        <w:t>El Gobierno nacional reglamentará la materia</w:t>
      </w:r>
      <w:r w:rsidRPr="00AB36CC">
        <w:rPr>
          <w:rFonts w:eastAsia="Calibri"/>
          <w:kern w:val="24"/>
        </w:rPr>
        <w:t xml:space="preserve"> y las especificaciones para la </w:t>
      </w:r>
      <w:r w:rsidRPr="00AB36CC">
        <w:rPr>
          <w:rFonts w:eastAsia="Calibri"/>
          <w:bCs/>
          <w:kern w:val="24"/>
        </w:rPr>
        <w:t>entrega de información por parte de las administradoras de fondos de pensiones y de asesoría y asistencia técnica al afiliado.</w:t>
      </w:r>
    </w:p>
    <w:p w:rsidR="009135D3" w:rsidRPr="00AB36CC" w:rsidRDefault="009135D3" w:rsidP="009135D3">
      <w:pPr>
        <w:pStyle w:val="NormalWeb"/>
        <w:spacing w:before="0" w:beforeAutospacing="0" w:afterLines="20" w:after="48" w:afterAutospacing="0"/>
        <w:jc w:val="both"/>
        <w:rPr>
          <w:rFonts w:eastAsia="Calibri"/>
          <w:bCs/>
          <w:kern w:val="24"/>
        </w:rPr>
      </w:pPr>
    </w:p>
    <w:p w:rsidR="009135D3" w:rsidRPr="00AB36CC" w:rsidRDefault="009135D3" w:rsidP="009135D3">
      <w:pPr>
        <w:pStyle w:val="NormalWeb"/>
        <w:spacing w:before="0" w:beforeAutospacing="0" w:afterLines="20" w:after="48" w:afterAutospacing="0"/>
        <w:jc w:val="both"/>
        <w:rPr>
          <w:rFonts w:eastAsiaTheme="minorEastAsia"/>
          <w:bCs/>
          <w:kern w:val="24"/>
        </w:rPr>
      </w:pPr>
      <w:r w:rsidRPr="00AB36CC">
        <w:rPr>
          <w:rFonts w:eastAsia="Calibri"/>
          <w:b/>
          <w:bCs/>
          <w:kern w:val="24"/>
        </w:rPr>
        <w:t xml:space="preserve">PARÁGRAFO. </w:t>
      </w:r>
      <w:r w:rsidRPr="00AB36CC">
        <w:t xml:space="preserve">Los colombianos que residen en el exterior y no estén cotizando al Sistema de Seguridad Social Colombiano pueden voluntariamente vincularse al Programa de Beneficios Económicos Periódicos – BEPS </w:t>
      </w:r>
      <w:r w:rsidRPr="00AB36CC">
        <w:rPr>
          <w:highlight w:val="yellow"/>
        </w:rPr>
        <w:t>El Gobierno nacional reglamentará</w:t>
      </w:r>
      <w:r w:rsidRPr="00AB36CC">
        <w:t xml:space="preserve"> el procedimiento administrativo para hacer efectiva la participación al programa.</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ARTÍCULO 203º. PAGO DE INCAPACIDADES DE ORIGEN COMÚN SUPERIORIES A 180 DÍAS</w:t>
      </w:r>
      <w:r w:rsidRPr="00AB36CC">
        <w:rPr>
          <w:rFonts w:ascii="Times New Roman" w:hAnsi="Times New Roman" w:cs="Times New Roman"/>
          <w:sz w:val="24"/>
          <w:szCs w:val="24"/>
        </w:rPr>
        <w:t xml:space="preserve">. Las prestaciones económicas como consecuencia de incapacidades prolongadas y continuas por enfermedades o accidentes de origen común a cargo de las entidades que hacen parte del Sistema de Seguridad Social Integral son de </w:t>
      </w:r>
      <w:r w:rsidRPr="00AB36CC">
        <w:rPr>
          <w:rFonts w:ascii="Times New Roman" w:hAnsi="Times New Roman" w:cs="Times New Roman"/>
          <w:sz w:val="24"/>
          <w:szCs w:val="24"/>
        </w:rPr>
        <w:lastRenderedPageBreak/>
        <w:t xml:space="preserve">carácter temporal y su finalidad es proveer parcialmente de ingresos a las personas que se encuentran en estado de incapacidad, sin tener como propósito suplir de manera indefinida los ingresos de un trabajador.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La Administradora de los Recursos del Sistema General de Seguridad Social en Salud - ADRES efectuará el reconocimiento y pago a las Entidades Promotoras de Salud por concepto de incapacidades por enfermedad o accidente de origen común que superen los quinientos cuarenta (540) días continuos o discontinuos y hasta un máximo de seiscientos treinta (630) días, de conformidad con lo señalado a continuación:</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1. Cuando un trabajador se encuentre incapacitado por enfermedad o accidente de origen común y no tenga concepto favorable de rehabilitación y dicha incapacidad supere </w:t>
      </w:r>
      <w:proofErr w:type="gramStart"/>
      <w:r w:rsidRPr="00AB36CC">
        <w:rPr>
          <w:rFonts w:ascii="Times New Roman" w:hAnsi="Times New Roman" w:cs="Times New Roman"/>
          <w:sz w:val="24"/>
          <w:szCs w:val="24"/>
        </w:rPr>
        <w:t>los ciento</w:t>
      </w:r>
      <w:proofErr w:type="gramEnd"/>
      <w:r w:rsidRPr="00AB36CC">
        <w:rPr>
          <w:rFonts w:ascii="Times New Roman" w:hAnsi="Times New Roman" w:cs="Times New Roman"/>
          <w:sz w:val="24"/>
          <w:szCs w:val="24"/>
        </w:rPr>
        <w:t xml:space="preserve"> ochenta (180) días continuos, deberá ser sujeto obligatorio de calificación de pérdida de capacidad laboral, por parte COLPENSIONES o las Compañías de Seguros que asuman los riesgos de invalidez y muerte.  Estas entidades, dentro de los treinta (30) días hábiles siguientes a que hayan recibido el concepto desfavorable de recuperación deberán surtir el proceso de calificación de pérdida de capacidad laboral y notificar su resultado a la EPS.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Si como resultado de la calificación se establece una pérdida de capacidad laboral inferior al 50%, finalizará el pago de prestaciones económicas por parte del Sistema de Seguridad Social integral y el trabajador tendrá derecho a la reincorporación o reubicación laboral. De no ser posible la reubicación laboral en la empresa en donde trabaja, el Ministerio de Trabajo coordinará a nivel nacional una bolsa de empleo con el propósito de lograr su reincorporación a la vida laboral.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2. Cuando un trabajador se encuentre incapacitado por enfermedad o accidente de origen común y tenga concepto favorable de rehabilitación, al día quinientos diez (510) de incapacidad la Administradora de Fondos de Pensiones o COLPENSIONES dará aviso a la EPS, de que no ha sido posible realizar la calificación en virtud del concepto favorable y que realizará el pago del subsidio de incapacidad hasta el día quinientos cuarenta (540).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 partir del día quinientos cuarenta y uno (541) la EPS podrá prorrogar el pago de incapacidades hasta por noventa (90) días adicionales (desde el día 541 al 630) con cargo al sistema de la salud, en los siguientes casos: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 Cuando en el curso de la enfermedad o lesión que originó la incapacidad temporal, habiéndose seguido con los protocolos y guías de atención y las recomendaciones del médico tratante, el paciente no haya tenido recuperación.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b. Cuando por enfermedades concomitantes se hayan presentado nuevas situaciones, que prolonguen el tiempo de recuperación del paciente.</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Llegado el día seiscientos treinta (630) de incapacidad no se continuará el pago de ninguna prestación económica por parte del Sistema de Seguridad Social Integral, sin perjuicio de las </w:t>
      </w:r>
      <w:r w:rsidRPr="00AB36CC">
        <w:rPr>
          <w:rFonts w:ascii="Times New Roman" w:hAnsi="Times New Roman" w:cs="Times New Roman"/>
          <w:sz w:val="24"/>
          <w:szCs w:val="24"/>
        </w:rPr>
        <w:lastRenderedPageBreak/>
        <w:t xml:space="preserve">prestaciones asistenciales necesarias para la rehabilitación del afiliado. Igualmente, el trabajador tendrá derecho a las medidas de reincorporación y reubicación laboral establecidas en la presente disposición. </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PARÁGRAFO PRIMERO</w:t>
      </w:r>
      <w:r w:rsidRPr="00AB36CC">
        <w:rPr>
          <w:rFonts w:ascii="Times New Roman" w:hAnsi="Times New Roman" w:cs="Times New Roman"/>
          <w:sz w:val="24"/>
          <w:szCs w:val="24"/>
        </w:rPr>
        <w:t xml:space="preserve">. El auxilio de incapacidades o el subsidio equivalente será suspendido en los casos de fraude o abuso del derecho de acuerdo con la reglamentación que expida el Gobierno nacional </w:t>
      </w:r>
    </w:p>
    <w:p w:rsidR="009135D3" w:rsidRPr="00AB36CC" w:rsidRDefault="009135D3" w:rsidP="009135D3">
      <w:pPr>
        <w:spacing w:afterLines="20" w:after="48" w:line="240" w:lineRule="auto"/>
        <w:jc w:val="both"/>
        <w:rPr>
          <w:rFonts w:ascii="Times New Roman" w:hAnsi="Times New Roman" w:cs="Times New Roman"/>
          <w:b/>
          <w:bCs/>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PARÁGRAFO SEGUNDO.</w:t>
      </w:r>
      <w:r w:rsidRPr="00AB36CC">
        <w:rPr>
          <w:rFonts w:ascii="Times New Roman" w:hAnsi="Times New Roman" w:cs="Times New Roman"/>
          <w:sz w:val="24"/>
          <w:szCs w:val="24"/>
        </w:rPr>
        <w:t xml:space="preserve"> En ningún caso el sistema de salud asumirá incapacidades superiores a quinientos cuarenta (540) días de personas que no se encuentran afiliadas al Sistema General de Pensiones. </w:t>
      </w:r>
    </w:p>
    <w:p w:rsidR="009135D3" w:rsidRPr="00AB36CC" w:rsidRDefault="009135D3" w:rsidP="009135D3">
      <w:pPr>
        <w:spacing w:afterLines="20" w:after="48" w:line="240" w:lineRule="auto"/>
        <w:jc w:val="both"/>
        <w:rPr>
          <w:rFonts w:ascii="Times New Roman" w:hAnsi="Times New Roman" w:cs="Times New Roman"/>
          <w:b/>
          <w:bCs/>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PARÁGRAFO TERCERO.</w:t>
      </w:r>
      <w:r w:rsidRPr="00AB36CC">
        <w:rPr>
          <w:rFonts w:ascii="Times New Roman" w:hAnsi="Times New Roman" w:cs="Times New Roman"/>
          <w:sz w:val="24"/>
          <w:szCs w:val="24"/>
        </w:rPr>
        <w:t xml:space="preserve"> </w:t>
      </w:r>
      <w:r w:rsidRPr="00AB36CC">
        <w:rPr>
          <w:rFonts w:ascii="Times New Roman" w:hAnsi="Times New Roman" w:cs="Times New Roman"/>
          <w:sz w:val="24"/>
          <w:szCs w:val="24"/>
          <w:highlight w:val="yellow"/>
        </w:rPr>
        <w:t>El Gobierno nacional reglamentará</w:t>
      </w:r>
      <w:r w:rsidRPr="00AB36CC">
        <w:rPr>
          <w:rFonts w:ascii="Times New Roman" w:hAnsi="Times New Roman" w:cs="Times New Roman"/>
          <w:sz w:val="24"/>
          <w:szCs w:val="24"/>
        </w:rPr>
        <w:t>, entre otras cosas, el procedimiento de revisión periódica de la incapacidad por parte del cualquier actor del Sistema General de Seguridad Social, el momento de calificación definitiva, y las situaciones de abuso del derecho que generen la suspensión del pago de esas incapacidades.</w:t>
      </w:r>
    </w:p>
    <w:p w:rsidR="009135D3" w:rsidRPr="00AB36CC" w:rsidRDefault="009135D3" w:rsidP="009135D3">
      <w:pPr>
        <w:spacing w:afterLines="20" w:after="48" w:line="240" w:lineRule="auto"/>
        <w:jc w:val="both"/>
        <w:rPr>
          <w:rFonts w:ascii="Times New Roman" w:hAnsi="Times New Roman" w:cs="Times New Roman"/>
          <w:b/>
          <w:bCs/>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 xml:space="preserve">PARÁGRAFO CUARTO. </w:t>
      </w:r>
      <w:r w:rsidRPr="00AB36CC">
        <w:rPr>
          <w:rFonts w:ascii="Times New Roman" w:hAnsi="Times New Roman" w:cs="Times New Roman"/>
          <w:sz w:val="24"/>
          <w:szCs w:val="24"/>
        </w:rPr>
        <w:t>Las entidades del Sistema General de Seguridad Social Integral, que tengan a su cargo el reconocimiento de las prestaciones económicas por incapacidad, el proceso de calificación de invalidez o el reconocimiento de pensiones de invalidez, podrán acceder a la historia clínica de los afiliados con el fin de cumplir de manera eficiente sus funciones misionales como entes de la seguridad social, de acuerdo con la reglamentación que al respecto expida el Gobierno nacional.  </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 xml:space="preserve">ARTÍCULO 205°. TERMINACIÓN DEL PROCEDIMIENTO SANCIONATORIO LABORAL. </w:t>
      </w:r>
      <w:r w:rsidRPr="00AB36CC">
        <w:rPr>
          <w:rFonts w:ascii="Times New Roman" w:hAnsi="Times New Roman" w:cs="Times New Roman"/>
          <w:sz w:val="24"/>
          <w:szCs w:val="24"/>
        </w:rPr>
        <w:t>El Ministerio del Trabajo podrá dar por suspendido o terminado, mediante mutuo acuerdo, un procedimiento administrativo sancionatorio por violación de normas laborales, diferentes a las relativas a la formalización laboral. La terminación por mutuo acuerdo estará condicionada a que los investigados reconozcan el incumplimiento de las normas laborales o de seguridad social integral, y garanticen la implementación por parte de los empleadores investigados, de medidas dirigidas a corregir las causas por las cuales se dio inicio a la actuación administrativa.</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Se suspenderá el procedimiento cuando los investigados reconozcan el incumplimiento de las normas y se comprometan a implementar las medidas correctivas mediante un plan de mejoramiento que contenga plazos razonables, no superiores a un (1) año, el cual deberá ser aprobado por el Ministerio del Trabajo. Una vez se implemente el plan de mejoramiento en su totalidad, se dará por terminado el procedimiento.</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Si la suspensión por mutuo acuerdo se suscribiere en la etapa de averiguación preliminar no habrá lugar a sanción alguna; si se suscribiera entre la formulación de cargos y la presentación de descargos, la sanción tendrá una rebaja de la mitad; y si se suscribiera entre el período probatorio y la presentación de alegatos, la sanción tendrá una rebaja de una tercera parte. Si </w:t>
      </w:r>
      <w:r w:rsidRPr="00AB36CC">
        <w:rPr>
          <w:rFonts w:ascii="Times New Roman" w:hAnsi="Times New Roman" w:cs="Times New Roman"/>
          <w:sz w:val="24"/>
          <w:szCs w:val="24"/>
        </w:rPr>
        <w:lastRenderedPageBreak/>
        <w:t>no se diere cumplimiento al plan de mejoramiento, se levantará la suspensión y se continuará con las etapas restantes del procedimiento, sin que proceda reducción alguna en la sanción.</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lo atinente a lo estipulado en el presente artículo.</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206°. FONDO PARA EL FORTALECIMIENTO DE LA INSPECCIÓN, VIGILANCIA Y CONTROL DEL TRABAJO Y LA SEGURIDAD SOCIAL - FIVICOT.</w:t>
      </w:r>
      <w:r w:rsidRPr="00AB36CC">
        <w:rPr>
          <w:rFonts w:ascii="Times New Roman" w:hAnsi="Times New Roman" w:cs="Times New Roman"/>
          <w:sz w:val="24"/>
          <w:szCs w:val="24"/>
        </w:rPr>
        <w:t xml:space="preserve"> Créase el Fondo para el Fortalecimiento de la Inspección, Vigilancia, y Control del Trabajo y la Seguridad Social - FIVICOT, como una cuenta especial de la Nación, sin personería jurídica, adscrita al Ministerio del Trabajo, cuyos recursos se destinarán a fortalecer la Inspección, Vigilancia y Control del Trabajo y la Seguridad Social.</w:t>
      </w: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 </w:t>
      </w: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El Fondo estará conformado por las multas que se impongan a partir del 1ro de enero de 2020, por la </w:t>
      </w:r>
      <w:proofErr w:type="gramStart"/>
      <w:r w:rsidRPr="00AB36CC">
        <w:rPr>
          <w:rFonts w:ascii="Times New Roman" w:hAnsi="Times New Roman" w:cs="Times New Roman"/>
          <w:sz w:val="24"/>
          <w:szCs w:val="24"/>
        </w:rPr>
        <w:t>violación  de</w:t>
      </w:r>
      <w:proofErr w:type="gramEnd"/>
      <w:r w:rsidRPr="00AB36CC">
        <w:rPr>
          <w:rFonts w:ascii="Times New Roman" w:hAnsi="Times New Roman" w:cs="Times New Roman"/>
          <w:sz w:val="24"/>
          <w:szCs w:val="24"/>
        </w:rPr>
        <w:t xml:space="preserve"> las disposiciones relativas a las condiciones de trabajo,  así como a la protección de los trabajadores en el ejercicio de su profesión y del derecho de libre asociación sindical. Las multas impuestas por el Ministerio del Trabajo en relación con el Sistema General de Riesgos Laborales, que hacen parte de la financiación del Fondo de Riesgos Laborales no pertenecerán a este fondo.</w:t>
      </w:r>
    </w:p>
    <w:p w:rsidR="009135D3" w:rsidRPr="00AB36CC" w:rsidRDefault="009135D3" w:rsidP="009135D3">
      <w:pPr>
        <w:spacing w:afterLines="20" w:after="48" w:line="240" w:lineRule="auto"/>
        <w:jc w:val="both"/>
        <w:rPr>
          <w:rFonts w:ascii="Times New Roman" w:hAnsi="Times New Roman" w:cs="Times New Roman"/>
          <w:sz w:val="24"/>
          <w:szCs w:val="24"/>
        </w:rPr>
      </w:pPr>
    </w:p>
    <w:p w:rsidR="009135D3" w:rsidRPr="00AB36CC" w:rsidRDefault="009135D3" w:rsidP="009135D3">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xml:space="preserve"> La función de cobro coactivo de las multas a las que hace referencia el presente artículo, le corresponderá a la Dirección de Inspección, Vigilancia, Control y Gestión Territorial del Ministerio del Trabajo, o a la dependencia que haga sus veces. </w:t>
      </w:r>
      <w:r w:rsidRPr="00AB36CC">
        <w:rPr>
          <w:rFonts w:ascii="Times New Roman" w:hAnsi="Times New Roman" w:cs="Times New Roman"/>
          <w:sz w:val="24"/>
          <w:szCs w:val="24"/>
          <w:highlight w:val="yellow"/>
        </w:rPr>
        <w:t>El Gobierno nacional reglamentará lo dispuesto en el presente artículo.</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2167DE">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214°. MESA DE EQUIDAD</w:t>
      </w:r>
      <w:r w:rsidRPr="00AB36CC">
        <w:rPr>
          <w:rFonts w:ascii="Times New Roman" w:hAnsi="Times New Roman" w:cs="Times New Roman"/>
          <w:sz w:val="24"/>
          <w:szCs w:val="24"/>
        </w:rPr>
        <w:t xml:space="preserve">. Créase la Mesa de Equidad como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pobreza. La Secretaría Técnica estará a cargo del Departamento Nacional de Planeación y el Departamento Administrativo para la Prosperidad Social. </w:t>
      </w:r>
      <w:r w:rsidRPr="00AB36CC">
        <w:rPr>
          <w:rFonts w:ascii="Times New Roman" w:hAnsi="Times New Roman" w:cs="Times New Roman"/>
          <w:sz w:val="24"/>
          <w:szCs w:val="24"/>
          <w:highlight w:val="yellow"/>
        </w:rPr>
        <w:t>El Gobierno nacional reglamentará el funcionamiento de la Mesa.</w:t>
      </w:r>
    </w:p>
    <w:p w:rsidR="009135D3" w:rsidRPr="00AB36CC" w:rsidRDefault="009135D3" w:rsidP="002167DE">
      <w:pPr>
        <w:spacing w:afterLines="20" w:after="48" w:line="240" w:lineRule="auto"/>
        <w:jc w:val="both"/>
        <w:rPr>
          <w:rFonts w:ascii="Times New Roman" w:hAnsi="Times New Roman" w:cs="Times New Roman"/>
          <w:sz w:val="24"/>
          <w:szCs w:val="24"/>
        </w:rPr>
      </w:pPr>
    </w:p>
    <w:p w:rsidR="009135D3" w:rsidRPr="00AB36CC" w:rsidRDefault="009135D3" w:rsidP="009135D3">
      <w:pPr>
        <w:pStyle w:val="Prrafodelista"/>
        <w:numPr>
          <w:ilvl w:val="0"/>
          <w:numId w:val="2"/>
        </w:numPr>
        <w:spacing w:afterLines="20" w:after="48" w:line="240" w:lineRule="auto"/>
        <w:jc w:val="both"/>
        <w:rPr>
          <w:rFonts w:ascii="Times New Roman" w:hAnsi="Times New Roman" w:cs="Times New Roman"/>
          <w:color w:val="000000"/>
          <w:sz w:val="24"/>
          <w:szCs w:val="24"/>
          <w:shd w:val="clear" w:color="auto" w:fill="FFFFFF"/>
        </w:rPr>
      </w:pPr>
      <w:r w:rsidRPr="00AB36CC">
        <w:rPr>
          <w:rFonts w:ascii="Times New Roman" w:hAnsi="Times New Roman" w:cs="Times New Roman"/>
          <w:b/>
          <w:color w:val="000000"/>
          <w:sz w:val="24"/>
          <w:szCs w:val="24"/>
          <w:lang w:val="es-ES_tradnl"/>
        </w:rPr>
        <w:t xml:space="preserve">ARTÍCULO 224º. </w:t>
      </w:r>
      <w:r w:rsidRPr="00AB36CC">
        <w:rPr>
          <w:rFonts w:ascii="Times New Roman" w:hAnsi="Times New Roman" w:cs="Times New Roman"/>
          <w:b/>
          <w:sz w:val="24"/>
          <w:szCs w:val="24"/>
          <w:lang w:val="es-ES"/>
        </w:rPr>
        <w:t>SISTEMA</w:t>
      </w:r>
      <w:r w:rsidRPr="00AB36CC">
        <w:rPr>
          <w:rFonts w:ascii="Times New Roman" w:hAnsi="Times New Roman" w:cs="Times New Roman"/>
          <w:b/>
          <w:sz w:val="24"/>
          <w:szCs w:val="24"/>
        </w:rPr>
        <w:t xml:space="preserve"> NACIONAL DE LAS MUJERES</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rPr>
        <w:t xml:space="preserve">Créase el Sistema Nacional de las Mujeres como un conjunto de políticas, instrumentos, componentes y procesos con el fin de incluir en la agenda de las diferentes ramas del poder público los temas prioritarios en materia de avance y garantía de los derechos humanos de las mujeres, con especial énfasis en el impulso </w:t>
      </w:r>
      <w:r w:rsidRPr="00AB36CC">
        <w:rPr>
          <w:rFonts w:ascii="Times New Roman" w:hAnsi="Times New Roman" w:cs="Times New Roman"/>
          <w:color w:val="000000"/>
          <w:sz w:val="24"/>
          <w:szCs w:val="24"/>
          <w:shd w:val="clear" w:color="auto" w:fill="FFFFFF"/>
        </w:rPr>
        <w:t>de la transversalidad del enfoque de género para las mujeres en las entidades del orden nacional y en la definición de políticas públicas sobre equidad de género para las mujeres.</w:t>
      </w: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r w:rsidRPr="00AB36CC">
        <w:rPr>
          <w:rFonts w:ascii="Times New Roman" w:hAnsi="Times New Roman" w:cs="Times New Roman"/>
          <w:color w:val="000000"/>
          <w:sz w:val="24"/>
          <w:szCs w:val="24"/>
          <w:shd w:val="clear" w:color="auto" w:fill="FFFFFF"/>
        </w:rPr>
        <w:t xml:space="preserve">El Sistema estará integrado por representantes del Gobierno nacional, la Comisión Legal para la Equidad de la Mujer del Congreso de la República, la Comisión de Género de la Rama Judicial, la Procuraduría General de la Nación y la Defensoría del Pueblo. Podrán asistir como invitados representantes de organismos internacionales, de las secretarias de la mujer del nivel territorial, representantes de la academia y representantes de organizaciones de la sociedad civil que cuenten con conocimiento y experticia sobre los derechos de las mujeres. El sistema también estará integrado por el Observatorio de Asuntos de Genero (OAG), a cargo de la Consejería Presidencial para la Equidad de la Mujer, con el fin de que este último suministre a sus integrantes la información cuantitativa y cualitativa relevante para el análisis y discusión en torno a la garantía de derechos de las mujeres. </w:t>
      </w: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r w:rsidRPr="00AB36CC">
        <w:rPr>
          <w:rFonts w:ascii="Times New Roman" w:hAnsi="Times New Roman" w:cs="Times New Roman"/>
          <w:color w:val="000000"/>
          <w:sz w:val="24"/>
          <w:szCs w:val="24"/>
          <w:shd w:val="clear" w:color="auto" w:fill="FFFFFF"/>
        </w:rPr>
        <w:t xml:space="preserve">El Sistema Nacional de las Mujeres dará insumos para la formulación de la Política de Equidad de Género para las Mujeres y realizará seguimiento a la implementación del Plan de acción de dicha política. En la construcción de esta política se hará énfasis en las mujeres rurales teniendo en cuenta un enfoque </w:t>
      </w:r>
      <w:proofErr w:type="spellStart"/>
      <w:r w:rsidRPr="00AB36CC">
        <w:rPr>
          <w:rFonts w:ascii="Times New Roman" w:hAnsi="Times New Roman" w:cs="Times New Roman"/>
          <w:color w:val="000000"/>
          <w:sz w:val="24"/>
          <w:szCs w:val="24"/>
          <w:shd w:val="clear" w:color="auto" w:fill="FFFFFF"/>
        </w:rPr>
        <w:t>interseccional</w:t>
      </w:r>
      <w:proofErr w:type="spellEnd"/>
      <w:r w:rsidRPr="00AB36CC">
        <w:rPr>
          <w:rFonts w:ascii="Times New Roman" w:hAnsi="Times New Roman" w:cs="Times New Roman"/>
          <w:color w:val="000000"/>
          <w:sz w:val="24"/>
          <w:szCs w:val="24"/>
          <w:shd w:val="clear" w:color="auto" w:fill="FFFFFF"/>
        </w:rPr>
        <w:t xml:space="preserve">. </w:t>
      </w: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r w:rsidRPr="00AB36CC">
        <w:rPr>
          <w:rFonts w:ascii="Times New Roman" w:hAnsi="Times New Roman" w:cs="Times New Roman"/>
          <w:color w:val="000000"/>
          <w:sz w:val="24"/>
          <w:szCs w:val="24"/>
          <w:shd w:val="clear" w:color="auto" w:fill="FFFFFF"/>
        </w:rPr>
        <w:t xml:space="preserve">Así mismo, el Sistema realizará seguimiento a la política pública de cuidado que se construirá bajo la coordinación de la Comisión Intersectorial del Sistema de Cuidado, teniendo en cuenta los enfoques de género e </w:t>
      </w:r>
      <w:proofErr w:type="spellStart"/>
      <w:r w:rsidRPr="00AB36CC">
        <w:rPr>
          <w:rFonts w:ascii="Times New Roman" w:hAnsi="Times New Roman" w:cs="Times New Roman"/>
          <w:color w:val="000000"/>
          <w:sz w:val="24"/>
          <w:szCs w:val="24"/>
          <w:shd w:val="clear" w:color="auto" w:fill="FFFFFF"/>
        </w:rPr>
        <w:t>interseccional</w:t>
      </w:r>
      <w:proofErr w:type="spellEnd"/>
      <w:r w:rsidRPr="00AB36CC">
        <w:rPr>
          <w:rFonts w:ascii="Times New Roman" w:hAnsi="Times New Roman" w:cs="Times New Roman"/>
          <w:color w:val="000000"/>
          <w:sz w:val="24"/>
          <w:szCs w:val="24"/>
          <w:shd w:val="clear" w:color="auto" w:fill="FFFFFF"/>
        </w:rPr>
        <w:t xml:space="preserve"> para el reconocimiento, reducción y redistribución del trabajo doméstico y de cuidado remunerado y no remunerado. </w:t>
      </w:r>
    </w:p>
    <w:p w:rsidR="009135D3" w:rsidRPr="00AB36CC" w:rsidRDefault="009135D3" w:rsidP="009135D3">
      <w:pPr>
        <w:spacing w:afterLines="20" w:after="48" w:line="240" w:lineRule="auto"/>
        <w:jc w:val="both"/>
        <w:rPr>
          <w:rFonts w:ascii="Times New Roman" w:hAnsi="Times New Roman" w:cs="Times New Roman"/>
          <w:color w:val="000000"/>
          <w:sz w:val="24"/>
          <w:szCs w:val="24"/>
          <w:shd w:val="clear" w:color="auto" w:fill="FFFFFF"/>
        </w:rPr>
      </w:pPr>
    </w:p>
    <w:p w:rsidR="009135D3" w:rsidRPr="00AB36CC" w:rsidRDefault="009135D3" w:rsidP="009135D3">
      <w:pPr>
        <w:spacing w:afterLines="20" w:after="48" w:line="240" w:lineRule="auto"/>
        <w:jc w:val="both"/>
        <w:rPr>
          <w:rFonts w:ascii="Times New Roman" w:hAnsi="Times New Roman" w:cs="Times New Roman"/>
          <w:sz w:val="24"/>
          <w:szCs w:val="24"/>
          <w:lang w:val="es-ES"/>
        </w:rPr>
      </w:pPr>
      <w:r w:rsidRPr="00AB36CC">
        <w:rPr>
          <w:rFonts w:ascii="Times New Roman" w:hAnsi="Times New Roman" w:cs="Times New Roman"/>
          <w:b/>
          <w:color w:val="000000"/>
          <w:sz w:val="24"/>
          <w:szCs w:val="24"/>
          <w:shd w:val="clear" w:color="auto" w:fill="FFFFFF"/>
        </w:rPr>
        <w:t>PARAGRAFO</w:t>
      </w:r>
      <w:r w:rsidRPr="00AB36CC">
        <w:rPr>
          <w:rFonts w:ascii="Times New Roman" w:hAnsi="Times New Roman" w:cs="Times New Roman"/>
          <w:b/>
          <w:sz w:val="24"/>
          <w:szCs w:val="24"/>
        </w:rPr>
        <w:t xml:space="preserve"> TRANSITORIO</w:t>
      </w:r>
      <w:r w:rsidRPr="00AB36CC">
        <w:rPr>
          <w:rFonts w:ascii="Times New Roman" w:hAnsi="Times New Roman" w:cs="Times New Roman"/>
          <w:b/>
          <w:sz w:val="24"/>
          <w:szCs w:val="24"/>
          <w:lang w:val="es-ES"/>
        </w:rPr>
        <w:t>.</w:t>
      </w:r>
      <w:r w:rsidRPr="00AB36CC">
        <w:rPr>
          <w:rFonts w:ascii="Times New Roman" w:hAnsi="Times New Roman" w:cs="Times New Roman"/>
          <w:sz w:val="24"/>
          <w:szCs w:val="24"/>
          <w:lang w:val="es-ES"/>
        </w:rPr>
        <w:t xml:space="preserve"> </w:t>
      </w:r>
      <w:r w:rsidRPr="00AB36CC">
        <w:rPr>
          <w:rFonts w:ascii="Times New Roman" w:hAnsi="Times New Roman" w:cs="Times New Roman"/>
          <w:sz w:val="24"/>
          <w:szCs w:val="24"/>
          <w:highlight w:val="yellow"/>
        </w:rPr>
        <w:t>El Departamento Administrativo de la Presidencia de la República, dentro de los tres (3) meses siguientes a la entrada en vigencia de la presente ley, reglamentará el funcionamiento del Sistema</w:t>
      </w:r>
      <w:r w:rsidRPr="00AB36CC">
        <w:rPr>
          <w:rFonts w:ascii="Times New Roman" w:hAnsi="Times New Roman" w:cs="Times New Roman"/>
          <w:sz w:val="24"/>
          <w:szCs w:val="24"/>
          <w:highlight w:val="yellow"/>
          <w:lang w:val="es-ES"/>
        </w:rPr>
        <w:t>.</w:t>
      </w:r>
    </w:p>
    <w:p w:rsidR="009135D3" w:rsidRPr="00AB36CC" w:rsidRDefault="009135D3"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jc w:val="both"/>
        <w:rPr>
          <w:rFonts w:ascii="Times New Roman" w:eastAsia="Times New Roman" w:hAnsi="Times New Roman" w:cs="Times New Roman"/>
          <w:sz w:val="24"/>
          <w:szCs w:val="24"/>
          <w:lang w:val="es-ES" w:eastAsia="es-ES_tradnl"/>
        </w:rPr>
      </w:pPr>
      <w:r w:rsidRPr="00AB36CC">
        <w:rPr>
          <w:rFonts w:ascii="Times New Roman" w:hAnsi="Times New Roman" w:cs="Times New Roman"/>
          <w:b/>
          <w:sz w:val="24"/>
          <w:szCs w:val="24"/>
        </w:rPr>
        <w:t xml:space="preserve">ARTÍCULO 230°. TARIFA DIFERENCIAL A PEQUEÑOS PRODUCTORES RURALES. </w:t>
      </w:r>
      <w:r w:rsidRPr="00AB36CC">
        <w:rPr>
          <w:rFonts w:ascii="Times New Roman" w:eastAsia="Times New Roman" w:hAnsi="Times New Roman" w:cs="Times New Roman"/>
          <w:sz w:val="24"/>
          <w:szCs w:val="24"/>
          <w:lang w:eastAsia="es-ES_tradnl"/>
        </w:rPr>
        <w:t xml:space="preserve">La Nación asignará un monto de recursos destinados a cubrir el valor correspondiente a un porcentaje del cincuenta por cuenta (50%) del costo de la energía eléctrica y de gas que consuman las asociaciones de pequeños productores del campo, que utilicen equipos electromecánicos o de refrigeración, para su operación debidamente comprobado por las empresas prestadoras del servicio respectivo. Las asociaciones de pequeños productores deberán realizar la inscripción ante las secretarias departamentales de agricultura o quien haga sus veces y esta información será verificada por el Ministerio de Agricultura y Desarrollo Rural. </w:t>
      </w:r>
      <w:r w:rsidRPr="00AB36CC">
        <w:rPr>
          <w:rFonts w:ascii="Times New Roman" w:eastAsia="Times New Roman" w:hAnsi="Times New Roman" w:cs="Times New Roman"/>
          <w:sz w:val="24"/>
          <w:szCs w:val="24"/>
          <w:lang w:val="es-ES" w:eastAsia="es-ES_tradnl"/>
        </w:rPr>
        <w:t xml:space="preserve"> </w:t>
      </w:r>
    </w:p>
    <w:p w:rsidR="002167DE" w:rsidRPr="00AB36CC" w:rsidRDefault="002167DE" w:rsidP="002167DE">
      <w:pPr>
        <w:jc w:val="both"/>
        <w:rPr>
          <w:rFonts w:ascii="Times New Roman" w:eastAsia="Times New Roman" w:hAnsi="Times New Roman" w:cs="Times New Roman"/>
          <w:sz w:val="24"/>
          <w:szCs w:val="24"/>
          <w:lang w:eastAsia="es-ES_tradnl"/>
        </w:rPr>
      </w:pPr>
      <w:r w:rsidRPr="00AB36CC">
        <w:rPr>
          <w:rFonts w:ascii="Times New Roman" w:eastAsia="Times New Roman" w:hAnsi="Times New Roman" w:cs="Times New Roman"/>
          <w:b/>
          <w:sz w:val="24"/>
          <w:szCs w:val="24"/>
          <w:lang w:eastAsia="es-ES_tradnl"/>
        </w:rPr>
        <w:t xml:space="preserve">PARÁGRAFO 1. </w:t>
      </w:r>
      <w:r w:rsidRPr="00AB36CC">
        <w:rPr>
          <w:rFonts w:ascii="Times New Roman" w:eastAsia="Times New Roman" w:hAnsi="Times New Roman" w:cs="Times New Roman"/>
          <w:sz w:val="24"/>
          <w:szCs w:val="24"/>
          <w:lang w:eastAsia="es-ES_tradnl"/>
        </w:rPr>
        <w:t xml:space="preserve">Se entenderá por asociaciones de pequeños productores del campo, quienes posean activos totales no superiores a los doscientos ochenta y cuatro (284) SMMLV, en el momento de la solicitud del subsidio, el valor de la tierra no será computable dentro de los activos totales. </w:t>
      </w:r>
    </w:p>
    <w:p w:rsidR="002167DE" w:rsidRPr="00AB36CC" w:rsidRDefault="002167DE" w:rsidP="002167DE">
      <w:pPr>
        <w:jc w:val="both"/>
        <w:rPr>
          <w:rFonts w:ascii="Times New Roman" w:eastAsia="Times New Roman" w:hAnsi="Times New Roman" w:cs="Times New Roman"/>
          <w:sz w:val="24"/>
          <w:szCs w:val="24"/>
          <w:lang w:eastAsia="es-ES_tradnl"/>
        </w:rPr>
      </w:pPr>
      <w:r w:rsidRPr="00AB36CC">
        <w:rPr>
          <w:rFonts w:ascii="Times New Roman" w:eastAsia="Times New Roman" w:hAnsi="Times New Roman" w:cs="Times New Roman"/>
          <w:b/>
          <w:sz w:val="24"/>
          <w:szCs w:val="24"/>
          <w:lang w:eastAsia="es-ES_tradnl"/>
        </w:rPr>
        <w:t>PARÁGRAFO 2</w:t>
      </w:r>
      <w:r w:rsidRPr="00AB36CC">
        <w:rPr>
          <w:rFonts w:ascii="Times New Roman" w:eastAsia="Times New Roman" w:hAnsi="Times New Roman" w:cs="Times New Roman"/>
          <w:sz w:val="24"/>
          <w:szCs w:val="24"/>
          <w:lang w:eastAsia="es-ES_tradnl"/>
        </w:rPr>
        <w:t>.  Quienes hayan accedido al subsidio de energía y gas en razón a su estrato, no podrán ser beneficiarios del subsidio consagrado en el presente artículo.</w:t>
      </w:r>
    </w:p>
    <w:p w:rsidR="002167DE" w:rsidRPr="00AB36CC" w:rsidRDefault="002167DE" w:rsidP="002167DE">
      <w:pPr>
        <w:spacing w:afterLines="20" w:after="48" w:line="240" w:lineRule="auto"/>
        <w:jc w:val="both"/>
        <w:rPr>
          <w:rFonts w:ascii="Times New Roman" w:eastAsia="Times New Roman" w:hAnsi="Times New Roman" w:cs="Times New Roman"/>
          <w:sz w:val="24"/>
          <w:szCs w:val="24"/>
          <w:lang w:eastAsia="es-ES_tradnl"/>
        </w:rPr>
      </w:pPr>
      <w:r w:rsidRPr="00AB36CC">
        <w:rPr>
          <w:rFonts w:ascii="Times New Roman" w:eastAsia="Times New Roman" w:hAnsi="Times New Roman" w:cs="Times New Roman"/>
          <w:b/>
          <w:sz w:val="24"/>
          <w:szCs w:val="24"/>
          <w:lang w:eastAsia="es-ES_tradnl"/>
        </w:rPr>
        <w:lastRenderedPageBreak/>
        <w:t>PARÁGRAFO 3</w:t>
      </w:r>
      <w:r w:rsidRPr="00AB36CC">
        <w:rPr>
          <w:rFonts w:ascii="Times New Roman" w:eastAsia="Times New Roman" w:hAnsi="Times New Roman" w:cs="Times New Roman"/>
          <w:sz w:val="24"/>
          <w:szCs w:val="24"/>
          <w:lang w:eastAsia="es-ES_tradnl"/>
        </w:rPr>
        <w:t xml:space="preserve">. </w:t>
      </w:r>
      <w:r w:rsidRPr="00AB36CC">
        <w:rPr>
          <w:rFonts w:ascii="Times New Roman" w:eastAsia="Times New Roman" w:hAnsi="Times New Roman" w:cs="Times New Roman"/>
          <w:sz w:val="24"/>
          <w:szCs w:val="24"/>
          <w:highlight w:val="yellow"/>
          <w:lang w:eastAsia="es-ES_tradnl"/>
        </w:rPr>
        <w:t xml:space="preserve">El Gobierno </w:t>
      </w:r>
      <w:proofErr w:type="gramStart"/>
      <w:r w:rsidRPr="00AB36CC">
        <w:rPr>
          <w:rFonts w:ascii="Times New Roman" w:eastAsia="Times New Roman" w:hAnsi="Times New Roman" w:cs="Times New Roman"/>
          <w:sz w:val="24"/>
          <w:szCs w:val="24"/>
          <w:highlight w:val="yellow"/>
          <w:lang w:eastAsia="es-ES_tradnl"/>
        </w:rPr>
        <w:t>Nacional ,</w:t>
      </w:r>
      <w:proofErr w:type="gramEnd"/>
      <w:r w:rsidRPr="00AB36CC">
        <w:rPr>
          <w:rFonts w:ascii="Times New Roman" w:eastAsia="Times New Roman" w:hAnsi="Times New Roman" w:cs="Times New Roman"/>
          <w:sz w:val="24"/>
          <w:szCs w:val="24"/>
          <w:highlight w:val="yellow"/>
          <w:lang w:eastAsia="es-ES_tradnl"/>
        </w:rPr>
        <w:t xml:space="preserve"> reglamentará la materia en un término no mayor a seis (06) meses a partir de la vigencia de la Presente Ley.</w:t>
      </w:r>
    </w:p>
    <w:p w:rsidR="002167DE" w:rsidRPr="00AB36CC" w:rsidRDefault="002167DE" w:rsidP="002167DE">
      <w:pPr>
        <w:spacing w:afterLines="20" w:after="48" w:line="240" w:lineRule="auto"/>
        <w:jc w:val="both"/>
        <w:rPr>
          <w:rFonts w:ascii="Times New Roman" w:eastAsia="Times New Roman" w:hAnsi="Times New Roman" w:cs="Times New Roman"/>
          <w:sz w:val="24"/>
          <w:szCs w:val="24"/>
          <w:lang w:eastAsia="es-ES_tradnl"/>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
          <w:bCs/>
          <w:sz w:val="24"/>
          <w:szCs w:val="24"/>
        </w:rPr>
        <w:t xml:space="preserve">ARTÍCULO 240º. SANEAMIENTO FINANCIERO DEL SECTOR SALUD EN LAS ENTIDADES TERRITORIALES. </w:t>
      </w:r>
      <w:r w:rsidRPr="00AB36CC">
        <w:rPr>
          <w:rFonts w:ascii="Times New Roman" w:hAnsi="Times New Roman" w:cs="Times New Roman"/>
          <w:bCs/>
          <w:sz w:val="24"/>
          <w:szCs w:val="24"/>
        </w:rPr>
        <w:t>Para efectos de lograr el saneamiento definitivo de las cuentas de servicios y tecnologías en salud no financiadas por la UPC del régimen subsidiado prestados hasta el 31 de diciembre de 2019, deberán cumplirse las siguientes reglas:</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1. Para determinar las deudas por servicios y tecnologías en salud no financiadas con cargo a la UPC de los afiliados al régimen subsidiado, la entidad territorial deberá adelantar el proceso de auditoría que le permita determinar si es procedente el pago.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En este proceso la entidad territorial verificará que los servicios y tecnologías en salud no financiados con cargo a la UPC hayan sido prescritas por parte de un profesional de la salud u ordenados mediante un fallo de tutela facturadas por el prestador o proveedor y suministradas al usuario, para lo cual deberán acogerse a la reglamentación que expida el Ministerio de Salud y Protección Social en virtud del literal d) del artículo anterior.</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Las entidades territoriales deberán adoptar lo dispuesto por la Nación para el proceso de auditoría y posterior pago de los servicios y tecnologías en salud no financiadas con cargo a la UPC del régimen contributivo.</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2. No serán objeto de saneamiento las obligaciones caducadas o prescritas, aquellas que correspondan a insumos recobrados sin observancia del principio de integralidad, los cobros o recobros que se encuentren involucrados en investigación por la Contraloría General de la República, la Fiscalía General de la Nación y/o la Superintendencia Nacional de Salud o sus referentes territoriales, ni los servicios y tecnologías en salud en los que se advierta alguno de los criterios definidos en el artículo 15 de la Ley 1751 de 2015.</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3. Las entidades territoriales podrán disponer de las siguientes fuentes de financiación: rentas cedidas, excedentes de las rentas cedidas, saldos de las cuentas maestras del régimen subsidiado en salud, excedentes del Sistema General de Participaciones de Salud Pública, excedentes y saldos no comprometidos con destino a la prestación de servicios en lo no cubierto con subsidios a la demanda del Sistema General de Participaciones, los recursos de transferencias realizadas por el Ministerio de Salud y Protección Social con cargo a los recursos del  Fondo de Solidaridad y Garantías - FOSYGA de vigencias anteriores y los excedentes del Fondo Nacional de Pensiones de las Entidades Territoriales - FONPET del sector salud financiados con </w:t>
      </w:r>
      <w:proofErr w:type="spellStart"/>
      <w:r w:rsidRPr="00AB36CC">
        <w:rPr>
          <w:rFonts w:ascii="Times New Roman" w:hAnsi="Times New Roman" w:cs="Times New Roman"/>
          <w:bCs/>
          <w:sz w:val="24"/>
          <w:szCs w:val="24"/>
        </w:rPr>
        <w:t>Lotto</w:t>
      </w:r>
      <w:proofErr w:type="spellEnd"/>
      <w:r w:rsidRPr="00AB36CC">
        <w:rPr>
          <w:rFonts w:ascii="Times New Roman" w:hAnsi="Times New Roman" w:cs="Times New Roman"/>
          <w:bCs/>
          <w:sz w:val="24"/>
          <w:szCs w:val="24"/>
        </w:rPr>
        <w:t xml:space="preserve"> en línea, sin perjuicio de los usos ya definidos en la ley y del Sistema General de Regalías cuando lo estimen pertinente.</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4. La entidad territorial creará un fondo al cual deberá transferir los recursos mencionados en el anterior numeral para financiar las obligaciones de que trata el presente artículo.</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lastRenderedPageBreak/>
        <w:t>5. La entidad territorial deberá ajustar su Marco Fiscal de Mediano Plazo en el curso de la vigencia 2019, en lo referente a la propuesta de ingresos y gastos requerido para dar cumplimiento al saneamiento de las deudas por servicios y tecnologías en salud no financiadas con cargo a la UPC del régimen subsidiado.</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6. Cuando se trate de servicios y tecnologías en salud prestados con anterioridad a la entrada en vigencia de la Resolución 1479 de 2015 del Ministerio de Salud y Protección Social, los recobros por dichos servicios y tecnologías deberán ser radicadas por la Entidad Promotora de Salud ante la entidad territorial, para lo cual tendrán un plazo máximo de nueve (9) meses a partir de la entrada en vigencia de la presente Ley. </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7. Cuando se trate de servicios prestados con posterioridad a la entrada en vigencia de la Resolución 1479 de 2015 del Ministerio de Salud y Protección Social, los cobros por servicios y tecnologías no financiados con cargo a la UPC deberán reconocerse a través de los modelos establecidos en el capítulo I y II de la mencionada resolución. Para ello, las Entidades Promotoras de Salud tendrán que trasladar todas las facturas a la entidad territorial, antes del 31 de diciembre de 2019, so pena de entenderse subrogado en la posición de la entidad territorial.</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8. Los servicios y tecnologías no financiados con cargo a la UPC prestados con posterioridad a la entrada en vigencia de la presente Ley y hasta el 31 de diciembre de 2019, deberán ser recobrados a las entidades territoriales dentro de los seis (6) meses siguientes a su prestación. De lo contrario, no podrán ser objeto del saneamiento dispuesto en este artículo. </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Cumplidas las reglas señaladas en los numerales anteriores, la entidad territorial procederá a suscribir los acuerdos de pago con las EPS e IPS de acuerdo con la disponibilidad de recursos del fondo constituido según lo dispuesto en los numerales 3 y 4 de este artículo. </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La Nación podrá cofinanciar el pago de las deudas de los servicios y tecnologías en salud no financiadas con cargo a la UPC del régimen subsidiado que agoten el procedimiento descrito en este artículo, siempre y cuando se cumplan las siguientes condiciones:</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a) Que se hayan agotado las fuentes de financiación con las que cuenta la entidad territorial para el pago de estas obligaciones. Para el efecto el Ministerio de Hacienda y Crédito Público, con el apoyo del Ministerio de Salud y Protección Social y del Departamento Nacional de Planeación, evaluará el esfuerzo fiscal de las entidades territoriales para el pago de estos pasivos y definirá el monto a financiar premiando a aquellas que hayan realizado mayores esfuerzos.</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b) Que la entidad territorial suscriba un contrato de transacción con la entidad acreedora que incluya como mínimo: </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lastRenderedPageBreak/>
        <w:t>i) La renuncia expresa de la entidad que esté realizando el cobro o recobro a instaurar o desistir de cualquier acción judicial o administrativa relacionada con la solicitud de pago elevada.</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ii) La obligación de la entidad territorial y la entidad que está realizando el recobro de revelar y depurar en sus estados financieros los resultados del proceso de verificación y control.</w:t>
      </w: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iii) La renuncia expresa de la entidad que esté realizando el cobro o recobro a cualquier tipo de interés y otros gastos, independientemente de su denominación sobre las cuentas presentadas, al momento de radicarlas por este mecanismo.</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Para cofinanciar el pago de las deudas de los servicios y tecnologías en salud no financiadas con cargo a la UPC del régimen subsidiado, autorícese al Gobierno nacional para realizar operaciones de crédito en las vigencias 2019 y 2020. La Dirección General de Crédito Público y Tesoro Nacional del Ministerio de Hacienda y Crédito Público, administrará, en una cuenta independiente, el cupo de emisión de deuda que se destine a la atención de las obligaciones de pago originadas en este artículo. Para los efectos previstos en este inciso, la Dirección General de Crédito Público y Tesoro Nacional estará facultada para realizar las operaciones necesarias en el mercado monetario y de deuda pública. Las operaciones de crédito público no implican operación presupuestal y solo deberá presupuestarse para efectos de su redención y pago de intereses. </w:t>
      </w:r>
      <w:r w:rsidRPr="00AB36CC">
        <w:rPr>
          <w:rFonts w:ascii="Times New Roman" w:hAnsi="Times New Roman" w:cs="Times New Roman"/>
          <w:bCs/>
          <w:sz w:val="24"/>
          <w:szCs w:val="24"/>
          <w:highlight w:val="yellow"/>
        </w:rPr>
        <w:t>El Gobierno nacional reglamentará los términos y condiciones en los cuales operará la cofinanciación de la Nación.</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Dentro de los seis (6) meses siguientes a la fecha de las operaciones de crédito público de que trata el inciso anterior, se deberá contratar una auditoría que valide los pagos efectuados, la cual será financiada con los recursos que la Nación asigne para tal fin. En el evento que la entidad territorial incumpla la obligación de contratar la auditoría, la totalidad del valor de la cofinanciación será reintegrado con los recursos propios de la entidad territorial. El reintegro comprenderá los intereses moratorios causados desde la fecha del pago por parte de la Nación, calculados a una tasa igual al doble del interés bancario corriente.</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t xml:space="preserve">En el evento en que la auditoría concluya que hubo pagos improcedentes, la Nación realizará el proceso de reintegro de recursos por pago de lo no debido. </w:t>
      </w:r>
    </w:p>
    <w:p w:rsidR="00644281" w:rsidRPr="00AB36CC" w:rsidRDefault="00644281" w:rsidP="00644281">
      <w:pPr>
        <w:spacing w:afterLines="20" w:after="48" w:line="240" w:lineRule="auto"/>
        <w:jc w:val="both"/>
        <w:rPr>
          <w:rFonts w:ascii="Times New Roman" w:hAnsi="Times New Roman" w:cs="Times New Roman"/>
          <w:b/>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
          <w:bCs/>
          <w:sz w:val="24"/>
          <w:szCs w:val="24"/>
        </w:rPr>
        <w:t xml:space="preserve">PARÁGRAFO PRIMERO. </w:t>
      </w:r>
      <w:r w:rsidRPr="00AB36CC">
        <w:rPr>
          <w:rFonts w:ascii="Times New Roman" w:hAnsi="Times New Roman" w:cs="Times New Roman"/>
          <w:bCs/>
          <w:sz w:val="24"/>
          <w:szCs w:val="24"/>
        </w:rPr>
        <w:t xml:space="preserve">Los servicios y tecnologías en salud no financiadas con cargo a la UPC que resulten aprobados mediante lo definido en el presente artículo no podrán exceder el valor máximo definido por el Gobierno nacional. </w:t>
      </w:r>
    </w:p>
    <w:p w:rsidR="00644281" w:rsidRPr="00AB36CC" w:rsidRDefault="00644281" w:rsidP="00644281">
      <w:pPr>
        <w:spacing w:afterLines="20" w:after="48" w:line="240" w:lineRule="auto"/>
        <w:jc w:val="both"/>
        <w:rPr>
          <w:rFonts w:ascii="Times New Roman" w:hAnsi="Times New Roman" w:cs="Times New Roman"/>
          <w:b/>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
          <w:bCs/>
          <w:sz w:val="24"/>
          <w:szCs w:val="24"/>
        </w:rPr>
        <w:t xml:space="preserve">PARÁGRAFO SEGUNDO. </w:t>
      </w:r>
      <w:r w:rsidRPr="00AB36CC">
        <w:rPr>
          <w:rFonts w:ascii="Times New Roman" w:hAnsi="Times New Roman" w:cs="Times New Roman"/>
          <w:bCs/>
          <w:sz w:val="24"/>
          <w:szCs w:val="24"/>
        </w:rPr>
        <w:t>El resultado de los procesos de saneamiento de que trata el presente artículo deberá reflejarse en los estados financieros de las entidades involucradas, dando cumplimiento a las normas de contabilidad, de información financiera y demás instrucciones vigentes sobre la materia, de tal forma que los estados financieros reflejen la realidad económica de estas entidades. La Superintendencia Nacional de Salud implementará un sistema de seguimiento que permita que el saneamiento se refleje en los estados financieros de las EPS y de las IPS.</w:t>
      </w:r>
    </w:p>
    <w:p w:rsidR="00644281" w:rsidRPr="00AB36CC" w:rsidRDefault="00644281" w:rsidP="00644281">
      <w:pPr>
        <w:spacing w:afterLines="20" w:after="48" w:line="240" w:lineRule="auto"/>
        <w:jc w:val="both"/>
        <w:rPr>
          <w:rFonts w:ascii="Times New Roman" w:hAnsi="Times New Roman" w:cs="Times New Roman"/>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Cs/>
          <w:sz w:val="24"/>
          <w:szCs w:val="24"/>
        </w:rPr>
        <w:lastRenderedPageBreak/>
        <w:t xml:space="preserve">El incumplimiento de esta obligación dará lugar a las sanciones contenidas en la Ley 1949 de 2019. Los representantes legales, administradores, contadores y revisores fiscales que ordenen, toleren, hagan o encubran falsedades cometidas en los balances, incurrirán en las sanciones previstas en la Ley 599 de 2000, así como fraudes y los demás relacionados que se configuren de acuerdo con su ocurrencia. </w:t>
      </w:r>
    </w:p>
    <w:p w:rsidR="00644281" w:rsidRPr="00AB36CC" w:rsidRDefault="00644281" w:rsidP="00644281">
      <w:pPr>
        <w:spacing w:afterLines="20" w:after="48" w:line="240" w:lineRule="auto"/>
        <w:jc w:val="both"/>
        <w:rPr>
          <w:rFonts w:ascii="Times New Roman" w:hAnsi="Times New Roman" w:cs="Times New Roman"/>
          <w:b/>
          <w:bCs/>
          <w:sz w:val="24"/>
          <w:szCs w:val="24"/>
        </w:rPr>
      </w:pPr>
    </w:p>
    <w:p w:rsidR="00644281" w:rsidRPr="00AB36CC" w:rsidRDefault="00644281" w:rsidP="00644281">
      <w:pPr>
        <w:spacing w:afterLines="20" w:after="48" w:line="240" w:lineRule="auto"/>
        <w:jc w:val="both"/>
        <w:rPr>
          <w:rFonts w:ascii="Times New Roman" w:hAnsi="Times New Roman" w:cs="Times New Roman"/>
          <w:b/>
          <w:bCs/>
          <w:sz w:val="24"/>
          <w:szCs w:val="24"/>
        </w:rPr>
      </w:pPr>
      <w:r w:rsidRPr="00AB36CC">
        <w:rPr>
          <w:rFonts w:ascii="Times New Roman" w:hAnsi="Times New Roman" w:cs="Times New Roman"/>
          <w:b/>
          <w:bCs/>
          <w:sz w:val="24"/>
          <w:szCs w:val="24"/>
        </w:rPr>
        <w:t xml:space="preserve">PARÁGRAFO TERCERO. </w:t>
      </w:r>
      <w:r w:rsidRPr="00AB36CC">
        <w:rPr>
          <w:rFonts w:ascii="Times New Roman" w:hAnsi="Times New Roman" w:cs="Times New Roman"/>
          <w:bCs/>
          <w:sz w:val="24"/>
          <w:szCs w:val="24"/>
        </w:rPr>
        <w:t>Los beneficiarios, a través de los instrumentos de crédito público, cederán su titularidad, cuando tengan deudas asociadas a la prestación de servicios y tecnologías no financiados con la UPC del régimen subsidiado, a los agentes del Sistema General de Seguridad Social en Salud - SGSSS que hayan prestado o suministrado dichos servicios, tales como las Instituciones Prestadoras de Servicios de Salud, quienes a su vez priorizarán las deudas laborales, en caso de tenerlas. Como requisito para la cesión de su titularidad, las EPS deberán acreditar haber surtido la conciliación de las cuentas a pagar.</w:t>
      </w:r>
      <w:r w:rsidRPr="00AB36CC">
        <w:rPr>
          <w:rFonts w:ascii="Times New Roman" w:hAnsi="Times New Roman" w:cs="Times New Roman"/>
          <w:b/>
          <w:bCs/>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b/>
          <w:bCs/>
          <w:sz w:val="24"/>
          <w:szCs w:val="24"/>
        </w:rPr>
      </w:pPr>
    </w:p>
    <w:p w:rsidR="00644281" w:rsidRPr="00AB36CC" w:rsidRDefault="00644281" w:rsidP="00644281">
      <w:pPr>
        <w:spacing w:afterLines="20" w:after="48" w:line="240" w:lineRule="auto"/>
        <w:jc w:val="both"/>
        <w:rPr>
          <w:rFonts w:ascii="Times New Roman" w:hAnsi="Times New Roman" w:cs="Times New Roman"/>
          <w:b/>
          <w:bCs/>
          <w:sz w:val="24"/>
          <w:szCs w:val="24"/>
        </w:rPr>
      </w:pPr>
      <w:r w:rsidRPr="00AB36CC">
        <w:rPr>
          <w:rFonts w:ascii="Times New Roman" w:hAnsi="Times New Roman" w:cs="Times New Roman"/>
          <w:b/>
          <w:bCs/>
          <w:sz w:val="24"/>
          <w:szCs w:val="24"/>
        </w:rPr>
        <w:t xml:space="preserve">PARÁGRAFO CUARTO. </w:t>
      </w:r>
      <w:r w:rsidRPr="00AB36CC">
        <w:rPr>
          <w:rFonts w:ascii="Times New Roman" w:hAnsi="Times New Roman" w:cs="Times New Roman"/>
          <w:bCs/>
          <w:sz w:val="24"/>
          <w:szCs w:val="24"/>
        </w:rPr>
        <w:t>Los responsables de las Instituciones Prestadoras de Servicios de Salud públicas que en el marco de este mecanismo apliquen lo dispuesto en el presente artículo, no incurrirán en falta disciplinaria, fiscal o penal.</w:t>
      </w:r>
    </w:p>
    <w:p w:rsidR="00644281" w:rsidRPr="00AB36CC" w:rsidRDefault="00644281" w:rsidP="00644281">
      <w:pPr>
        <w:spacing w:afterLines="20" w:after="48" w:line="240" w:lineRule="auto"/>
        <w:jc w:val="both"/>
        <w:rPr>
          <w:rFonts w:ascii="Times New Roman" w:hAnsi="Times New Roman" w:cs="Times New Roman"/>
          <w:b/>
          <w:bCs/>
          <w:sz w:val="24"/>
          <w:szCs w:val="24"/>
        </w:rPr>
      </w:pPr>
    </w:p>
    <w:p w:rsidR="00644281" w:rsidRPr="00AB36CC" w:rsidRDefault="00644281" w:rsidP="00644281">
      <w:pPr>
        <w:spacing w:afterLines="20" w:after="48" w:line="240" w:lineRule="auto"/>
        <w:jc w:val="both"/>
        <w:rPr>
          <w:rFonts w:ascii="Times New Roman" w:hAnsi="Times New Roman" w:cs="Times New Roman"/>
          <w:bCs/>
          <w:sz w:val="24"/>
          <w:szCs w:val="24"/>
        </w:rPr>
      </w:pPr>
      <w:r w:rsidRPr="00AB36CC">
        <w:rPr>
          <w:rFonts w:ascii="Times New Roman" w:hAnsi="Times New Roman" w:cs="Times New Roman"/>
          <w:b/>
          <w:bCs/>
          <w:sz w:val="24"/>
          <w:szCs w:val="24"/>
        </w:rPr>
        <w:t xml:space="preserve">PARAGRAFO QUINTO. </w:t>
      </w:r>
      <w:r w:rsidRPr="00AB36CC">
        <w:rPr>
          <w:rFonts w:ascii="Times New Roman" w:hAnsi="Times New Roman" w:cs="Times New Roman"/>
          <w:bCs/>
          <w:sz w:val="24"/>
          <w:szCs w:val="24"/>
        </w:rPr>
        <w:t>Para el trámite de presentación, registro, aprobación o reconocimiento de valores del cobro o recobro mediante factura o cualquier documento que soporte el cobro por este mecanismo, se tendrá en cuenta lo dispuesto en Ley 599 de 2000 en términos de configuración de conductas relacionadas con la comisión de falsedades, inconsistencias, adulteraciones o cualquier situación fraudulenta o irregular constitutiva de una sanción penal, y serán puestas en conocimiento de la autoridad competente por parte de la persona que lo conozca.</w:t>
      </w:r>
    </w:p>
    <w:p w:rsidR="00644281" w:rsidRPr="00AB36CC" w:rsidRDefault="00644281" w:rsidP="002167DE">
      <w:pPr>
        <w:spacing w:afterLines="20" w:after="48" w:line="240" w:lineRule="auto"/>
        <w:jc w:val="both"/>
        <w:rPr>
          <w:rFonts w:ascii="Times New Roman" w:eastAsia="Times New Roman" w:hAnsi="Times New Roman" w:cs="Times New Roman"/>
          <w:sz w:val="24"/>
          <w:szCs w:val="24"/>
          <w:lang w:eastAsia="es-ES_tradnl"/>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 xml:space="preserve">ARTÍCULO 245º. INTEGRANTES DEL SISTEMA GENERAL DE SEGURIDAD SOCIAL EN SALUD. </w:t>
      </w:r>
      <w:r w:rsidRPr="00AB36CC">
        <w:rPr>
          <w:rFonts w:ascii="Times New Roman" w:hAnsi="Times New Roman" w:cs="Times New Roman"/>
          <w:sz w:val="24"/>
          <w:szCs w:val="24"/>
          <w:lang w:val="es-CO"/>
        </w:rPr>
        <w:t xml:space="preserve">Adiciónese el siguiente numeral al artículo 155 de la Ley 100 de 1993, así: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8. Operadores logísticos de tecnologías en salud y gestores farmacéuticos.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Ministerio de Salud y Protección Social reglamentará los requisitos financieros y de operación de los agentes de los que trata este numeral</w:t>
      </w:r>
      <w:r w:rsidRPr="00AB36CC">
        <w:rPr>
          <w:rFonts w:ascii="Times New Roman" w:hAnsi="Times New Roman" w:cs="Times New Roman"/>
          <w:sz w:val="24"/>
          <w:szCs w:val="24"/>
        </w:rPr>
        <w:t>. La Superintendencia de Industria y Comercio, en el desarrollo de sus funciones, garantizará la libre y leal competencia económica, mediante la prohibición de actos y conductas de competencia desleal.</w:t>
      </w: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 </w:t>
      </w: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bCs/>
          <w:sz w:val="24"/>
          <w:szCs w:val="24"/>
          <w:lang w:val="es-CO"/>
        </w:rPr>
        <w:t>ARTÍCULO 246º. INGRESO BASE DE COTIZACIÓN -IBC DE LOS INDEPENDIENTES.</w:t>
      </w:r>
      <w:r w:rsidRPr="00AB36CC">
        <w:rPr>
          <w:rFonts w:ascii="Times New Roman" w:hAnsi="Times New Roman" w:cs="Times New Roman"/>
          <w:sz w:val="24"/>
          <w:szCs w:val="24"/>
          <w:lang w:val="es-CO"/>
        </w:rPr>
        <w:t xml:space="preserve">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w:t>
      </w:r>
      <w:proofErr w:type="spellStart"/>
      <w:r w:rsidRPr="00AB36CC">
        <w:rPr>
          <w:rFonts w:ascii="Times New Roman" w:hAnsi="Times New Roman" w:cs="Times New Roman"/>
          <w:sz w:val="24"/>
          <w:szCs w:val="24"/>
          <w:lang w:val="es-CO"/>
        </w:rPr>
        <w:t>mensualizado</w:t>
      </w:r>
      <w:proofErr w:type="spellEnd"/>
      <w:r w:rsidRPr="00AB36CC">
        <w:rPr>
          <w:rFonts w:ascii="Times New Roman" w:hAnsi="Times New Roman" w:cs="Times New Roman"/>
          <w:sz w:val="24"/>
          <w:szCs w:val="24"/>
          <w:lang w:val="es-CO"/>
        </w:rPr>
        <w:t xml:space="preserve"> del contrato, sin incluir el valor del Impuesto al Valor Agregado (IVA).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lastRenderedPageBreak/>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w:t>
      </w:r>
      <w:proofErr w:type="spellStart"/>
      <w:r w:rsidRPr="00AB36CC">
        <w:rPr>
          <w:rFonts w:ascii="Times New Roman" w:hAnsi="Times New Roman" w:cs="Times New Roman"/>
          <w:sz w:val="24"/>
          <w:szCs w:val="24"/>
        </w:rPr>
        <w:t>mensualizado</w:t>
      </w:r>
      <w:proofErr w:type="spellEnd"/>
      <w:r w:rsidRPr="00AB36CC">
        <w:rPr>
          <w:rFonts w:ascii="Times New Roman" w:hAnsi="Times New Roman" w:cs="Times New Roman"/>
          <w:sz w:val="24"/>
          <w:szCs w:val="24"/>
        </w:rPr>
        <w:t xml:space="preserve"> de los ingresos, sin incluir el valor del Impuesto al Valor Agregado - IVA. En estos casos será procedente la imputación de costos y deducciones siempre que se cumplan los criterios determinados en el artículo 107 del Estatuto Tributario y sin exceder los valores incluidos en la declaración de renta de la respectiva vigencia.</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el mecanismo para realizar la mensualización de que trata el presente artículo</w:t>
      </w:r>
      <w:r w:rsidRPr="00AB36CC">
        <w:rPr>
          <w:rFonts w:ascii="Times New Roman" w:hAnsi="Times New Roman" w:cs="Times New Roman"/>
          <w:sz w:val="24"/>
          <w:szCs w:val="24"/>
        </w:rPr>
        <w:t xml:space="preserve">. </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Pensional y Parafiscales - UGPP deberá, atendiendo a los datos estadísticos producidos por la Dirección de Impuestos y Aduanas Nacionales - DIAN, por el Departamento Administrativo Nacional de Estadística, por el Banco de la República, por la Superintendencia de Sociedades u otras entidades cuyas estadísticas fueren aplicables, determinar un esquema de presunción de costos.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No </w:t>
      </w:r>
      <w:proofErr w:type="gramStart"/>
      <w:r w:rsidRPr="00AB36CC">
        <w:rPr>
          <w:rFonts w:ascii="Times New Roman" w:hAnsi="Times New Roman" w:cs="Times New Roman"/>
          <w:sz w:val="24"/>
          <w:szCs w:val="24"/>
        </w:rPr>
        <w:t>obstante</w:t>
      </w:r>
      <w:proofErr w:type="gramEnd"/>
      <w:r w:rsidRPr="00AB36CC">
        <w:rPr>
          <w:rFonts w:ascii="Times New Roman" w:hAnsi="Times New Roman" w:cs="Times New Roman"/>
          <w:sz w:val="24"/>
          <w:szCs w:val="24"/>
        </w:rPr>
        <w:t xml:space="preserv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 xml:space="preserve">ARTÍCULO 254º. CÉDULA RURAL. </w:t>
      </w:r>
      <w:r w:rsidRPr="00AB36CC">
        <w:rPr>
          <w:rFonts w:ascii="Times New Roman" w:hAnsi="Times New Roman" w:cs="Times New Roman"/>
          <w:sz w:val="24"/>
          <w:szCs w:val="24"/>
        </w:rPr>
        <w:t>Con el propósito de formalizar la actividad de producción agropecuaria, promover la inclusión financiera, controlar el otorgamiento de créditos, subsidios, incentivos o apoyos estatales a las actividades agropecuarias y rurales; así como obtener información de la producción agropecuaria que facilite la adopción de políticas públicas para este sector, créase la cédula rural.</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Ministerio de Agricultura y Desarrollo Rural, en coordinación con el Ministerio de Hacienda y Crédito Público, reglamentará todos los aspectos requeridos para el funcionamiento y operación de este mecanismo.</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El Ministerio de Agricultura y Desarrollo Rural podrá delegar en otras entidades públicas la administración y operación de la cédula rural.</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Los recursos que se destinen y asignen para la implementación, administración y operación de la cédula rural deberán ser consistentes con el Marco Fiscal de Mediano Plazo y el Marco de Gasto del Sector de Agricultura y Desarrollo Rural.</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lastRenderedPageBreak/>
        <w:t xml:space="preserve">PARÁGRAFO. </w:t>
      </w:r>
      <w:r w:rsidRPr="00AB36CC">
        <w:rPr>
          <w:rFonts w:ascii="Times New Roman" w:hAnsi="Times New Roman" w:cs="Times New Roman"/>
          <w:sz w:val="24"/>
          <w:szCs w:val="24"/>
        </w:rPr>
        <w:t>El Gobierno nacional tendrá en consideración las experiencias existentes en los procesos de cedulación rural, con el propósito de evitar duplicidades, precisar los alcances y enriquecer los procesos.</w:t>
      </w: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sz w:val="24"/>
          <w:szCs w:val="24"/>
          <w:lang w:val="es-ES"/>
        </w:rPr>
      </w:pPr>
      <w:r w:rsidRPr="00AB36CC">
        <w:rPr>
          <w:rFonts w:ascii="Times New Roman" w:hAnsi="Times New Roman" w:cs="Times New Roman"/>
          <w:b/>
          <w:sz w:val="24"/>
          <w:szCs w:val="24"/>
          <w:lang w:val="es-CO"/>
        </w:rPr>
        <w:t xml:space="preserve">ARTÍCULO 262°. </w:t>
      </w:r>
      <w:r w:rsidRPr="00AB36CC">
        <w:rPr>
          <w:rFonts w:ascii="Times New Roman" w:hAnsi="Times New Roman" w:cs="Times New Roman"/>
          <w:b/>
          <w:sz w:val="24"/>
          <w:szCs w:val="24"/>
        </w:rPr>
        <w:t>VIVIENDA RURAL EFECTIVA</w:t>
      </w:r>
      <w:r w:rsidRPr="00AB36CC">
        <w:rPr>
          <w:rFonts w:ascii="Times New Roman" w:hAnsi="Times New Roman" w:cs="Times New Roman"/>
          <w:sz w:val="24"/>
          <w:szCs w:val="24"/>
        </w:rPr>
        <w:t xml:space="preserve">. El Gobierno </w:t>
      </w:r>
      <w:r w:rsidRPr="00AB36CC">
        <w:rPr>
          <w:rFonts w:ascii="Times New Roman" w:hAnsi="Times New Roman" w:cs="Times New Roman"/>
          <w:sz w:val="24"/>
          <w:szCs w:val="24"/>
          <w:lang w:val="es-ES"/>
        </w:rPr>
        <w:t>n</w:t>
      </w:r>
      <w:proofErr w:type="spellStart"/>
      <w:r w:rsidRPr="00AB36CC">
        <w:rPr>
          <w:rFonts w:ascii="Times New Roman" w:hAnsi="Times New Roman" w:cs="Times New Roman"/>
          <w:sz w:val="24"/>
          <w:szCs w:val="24"/>
        </w:rPr>
        <w:t>acional</w:t>
      </w:r>
      <w:proofErr w:type="spellEnd"/>
      <w:r w:rsidRPr="00AB36CC">
        <w:rPr>
          <w:rFonts w:ascii="Times New Roman" w:hAnsi="Times New Roman" w:cs="Times New Roman"/>
          <w:sz w:val="24"/>
          <w:szCs w:val="24"/>
        </w:rPr>
        <w:t xml:space="preserve"> diseñará un plan para la efectiva implementación de una política de vivienda rural. </w:t>
      </w:r>
      <w:r w:rsidRPr="00AB36CC">
        <w:rPr>
          <w:rFonts w:ascii="Times New Roman" w:hAnsi="Times New Roman" w:cs="Times New Roman"/>
          <w:sz w:val="24"/>
          <w:szCs w:val="24"/>
          <w:lang w:val="es-ES"/>
        </w:rPr>
        <w:t xml:space="preserve">A partir del año 2020 su formulación y ejecución estará a cargo del Ministerio de Vivienda, Ciudad y Territorio, por lo que será esa entidad la encargada de coordinar y liderar la ejecución de los proyectos de vivienda y mejoramiento de vivienda encaminados a la disminución del déficit habitacional rural. </w:t>
      </w:r>
    </w:p>
    <w:p w:rsidR="00644281" w:rsidRPr="00AB36CC" w:rsidRDefault="00644281" w:rsidP="00644281">
      <w:pPr>
        <w:spacing w:afterLines="20" w:after="48" w:line="240" w:lineRule="auto"/>
        <w:jc w:val="both"/>
        <w:rPr>
          <w:rFonts w:ascii="Times New Roman" w:hAnsi="Times New Roman" w:cs="Times New Roman"/>
          <w:sz w:val="24"/>
          <w:szCs w:val="24"/>
          <w:lang w:val="es-ES"/>
        </w:rPr>
      </w:pPr>
    </w:p>
    <w:p w:rsidR="00644281" w:rsidRPr="00AB36CC" w:rsidRDefault="00644281" w:rsidP="00644281">
      <w:pPr>
        <w:spacing w:afterLines="20" w:after="48" w:line="240" w:lineRule="auto"/>
        <w:jc w:val="both"/>
        <w:rPr>
          <w:rFonts w:ascii="Times New Roman" w:hAnsi="Times New Roman" w:cs="Times New Roman"/>
          <w:sz w:val="24"/>
          <w:szCs w:val="24"/>
          <w:lang w:val="es-ES"/>
        </w:rPr>
      </w:pPr>
      <w:r w:rsidRPr="00AB36CC">
        <w:rPr>
          <w:rFonts w:ascii="Times New Roman" w:hAnsi="Times New Roman" w:cs="Times New Roman"/>
          <w:sz w:val="24"/>
          <w:szCs w:val="24"/>
          <w:lang w:val="es-ES"/>
        </w:rPr>
        <w:t xml:space="preserve">Para este efecto </w:t>
      </w:r>
      <w:r w:rsidRPr="00AB36CC">
        <w:rPr>
          <w:rFonts w:ascii="Times New Roman" w:hAnsi="Times New Roman" w:cs="Times New Roman"/>
          <w:sz w:val="24"/>
          <w:szCs w:val="24"/>
          <w:highlight w:val="yellow"/>
          <w:lang w:val="es-ES"/>
        </w:rPr>
        <w:t>el Gobierno nacional</w:t>
      </w:r>
      <w:r w:rsidRPr="00AB36CC">
        <w:rPr>
          <w:rFonts w:ascii="Times New Roman" w:hAnsi="Times New Roman" w:cs="Times New Roman"/>
          <w:sz w:val="24"/>
          <w:szCs w:val="24"/>
          <w:lang w:val="es-ES"/>
        </w:rPr>
        <w:t xml:space="preserve"> realizará los ajustes presupuestales correspondientes, respetando tanto el Marco de Gasto de Mediano Plazo, así como el Marco Fiscal de Mediano Plazo, y </w:t>
      </w:r>
      <w:r w:rsidRPr="00AB36CC">
        <w:rPr>
          <w:rFonts w:ascii="Times New Roman" w:hAnsi="Times New Roman" w:cs="Times New Roman"/>
          <w:sz w:val="24"/>
          <w:szCs w:val="24"/>
          <w:highlight w:val="yellow"/>
          <w:lang w:val="es-ES"/>
        </w:rPr>
        <w:t>reglamentará la materia.</w:t>
      </w:r>
      <w:r w:rsidRPr="00AB36CC">
        <w:rPr>
          <w:rFonts w:ascii="Times New Roman" w:hAnsi="Times New Roman" w:cs="Times New Roman"/>
          <w:sz w:val="24"/>
          <w:szCs w:val="24"/>
          <w:lang w:val="es-ES"/>
        </w:rPr>
        <w:t xml:space="preserve"> </w:t>
      </w:r>
    </w:p>
    <w:p w:rsidR="00644281" w:rsidRPr="00AB36CC" w:rsidRDefault="00644281" w:rsidP="00644281">
      <w:pPr>
        <w:pStyle w:val="Prrafodelista"/>
        <w:spacing w:afterLines="20" w:after="48" w:line="240" w:lineRule="auto"/>
        <w:ind w:left="360"/>
        <w:jc w:val="both"/>
        <w:rPr>
          <w:rFonts w:ascii="Times New Roman" w:hAnsi="Times New Roman" w:cs="Times New Roman"/>
          <w:sz w:val="24"/>
          <w:szCs w:val="24"/>
        </w:rPr>
      </w:pP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0"/>
        <w:jc w:val="both"/>
        <w:rPr>
          <w:rFonts w:ascii="Times New Roman" w:hAnsi="Times New Roman" w:cs="Times New Roman"/>
          <w:sz w:val="24"/>
          <w:szCs w:val="24"/>
          <w:lang w:val="es-ES"/>
        </w:rPr>
      </w:pPr>
      <w:r w:rsidRPr="00AB36CC">
        <w:rPr>
          <w:rFonts w:ascii="Times New Roman" w:hAnsi="Times New Roman" w:cs="Times New Roman"/>
          <w:b/>
          <w:sz w:val="24"/>
          <w:szCs w:val="24"/>
        </w:rPr>
        <w:t xml:space="preserve">ARTÍCULO </w:t>
      </w:r>
      <w:r w:rsidRPr="00AB36CC">
        <w:rPr>
          <w:rFonts w:ascii="Times New Roman" w:hAnsi="Times New Roman" w:cs="Times New Roman"/>
          <w:b/>
          <w:sz w:val="24"/>
          <w:szCs w:val="24"/>
          <w:lang w:val="es-ES"/>
        </w:rPr>
        <w:t>269º</w:t>
      </w:r>
      <w:r w:rsidRPr="00AB36CC">
        <w:rPr>
          <w:rFonts w:ascii="Times New Roman" w:hAnsi="Times New Roman" w:cs="Times New Roman"/>
          <w:b/>
          <w:sz w:val="24"/>
          <w:szCs w:val="24"/>
        </w:rPr>
        <w:t xml:space="preserve">. </w:t>
      </w:r>
      <w:r w:rsidRPr="00AB36CC">
        <w:rPr>
          <w:rFonts w:ascii="Times New Roman" w:hAnsi="Times New Roman" w:cs="Times New Roman"/>
          <w:b/>
          <w:sz w:val="24"/>
          <w:szCs w:val="24"/>
          <w:lang w:val="es-ES"/>
        </w:rPr>
        <w:t xml:space="preserve">ZONA ECONÓMICA Y SOCIAL ESPECIAL – ZESE PARA LA GUAJIRA, NORTE DE SANTANDER Y ARAUCA. </w:t>
      </w:r>
      <w:r w:rsidRPr="00AB36CC">
        <w:rPr>
          <w:rFonts w:ascii="Times New Roman" w:hAnsi="Times New Roman" w:cs="Times New Roman"/>
          <w:sz w:val="24"/>
          <w:szCs w:val="24"/>
          <w:lang w:val="es-ES"/>
        </w:rPr>
        <w:t>Créese un régimen especial en materia tributaria para los departamentos de La Guajira, Norte de Santander y Arauca, para atraer inversión nacional y extranjera y así contribuir al mejoramiento de las condiciones de vida de su población y la generación de empleo.</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sz w:val="24"/>
          <w:szCs w:val="24"/>
          <w:lang w:val="es-ES"/>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o comerciales.</w:t>
      </w:r>
    </w:p>
    <w:p w:rsidR="00644281" w:rsidRPr="00AB36CC" w:rsidRDefault="00644281" w:rsidP="00644281">
      <w:pPr>
        <w:spacing w:after="0"/>
        <w:jc w:val="both"/>
        <w:rPr>
          <w:rFonts w:ascii="Times New Roman" w:hAnsi="Times New Roman" w:cs="Times New Roman"/>
          <w:b/>
          <w:sz w:val="24"/>
          <w:szCs w:val="24"/>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sz w:val="24"/>
          <w:szCs w:val="24"/>
          <w:lang w:val="es-ES"/>
        </w:rPr>
        <w:t>El beneficiario deberá desarrollar toda su actividad económica en la ZESE y los productos que prepare o provea podrá ser vendidos y despachados en la misma o ser destinados a lugares del territorio nacional o al exterior.</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sz w:val="24"/>
          <w:szCs w:val="24"/>
          <w:lang w:val="es-ES"/>
        </w:rPr>
        <w:t>La tarifa del impuesto sobre la renta aplicable a los beneficiarios de la ZESE será del 0% durante los primeros cinco (5) años contados a partir de la constitución de la sociedad, y del 50% de la tarifa general para los siguientes cinco (5) años.</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sz w:val="24"/>
          <w:szCs w:val="24"/>
          <w:lang w:val="es-ES"/>
        </w:rPr>
        <w:t>Cuando se efectúen pagos o abonos en cuenta a un beneficiario de la ZESE, la tarifa de retención en la fuente se calculará en forma proporcional al porcentaje de la tarifa del impuesto sobre la renta y complementarios del beneficiario.</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b/>
          <w:sz w:val="24"/>
          <w:szCs w:val="24"/>
          <w:lang w:val="es-ES"/>
        </w:rPr>
        <w:t xml:space="preserve">PARÁGRAFO PRIMERO: </w:t>
      </w:r>
      <w:r w:rsidRPr="00AB36CC">
        <w:rPr>
          <w:rFonts w:ascii="Times New Roman" w:hAnsi="Times New Roman" w:cs="Times New Roman"/>
          <w:sz w:val="24"/>
          <w:szCs w:val="24"/>
          <w:lang w:val="es-ES"/>
        </w:rPr>
        <w:t xml:space="preserve">Durante los diez (10) años siguientes los beneficiarios de la ZESE enviarán antes del 30 de marzo del año siguiente gravable a la Dirección Seccional respectiva o la que haga sus veces de la Unidad Administrativa Especial de Impuestos y Adunas Nacionales – DIAN, los siguientes documentos, los cuales esta entidad verificará con la declaración de impuesto sobre la renta correspondiente. </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numPr>
          <w:ilvl w:val="1"/>
          <w:numId w:val="3"/>
        </w:numPr>
        <w:spacing w:after="0"/>
        <w:contextualSpacing/>
        <w:jc w:val="both"/>
        <w:rPr>
          <w:rFonts w:ascii="Times New Roman" w:hAnsi="Times New Roman" w:cs="Times New Roman"/>
          <w:sz w:val="24"/>
          <w:szCs w:val="24"/>
        </w:rPr>
      </w:pPr>
      <w:r w:rsidRPr="00AB36CC">
        <w:rPr>
          <w:rFonts w:ascii="Times New Roman" w:hAnsi="Times New Roman" w:cs="Times New Roman"/>
          <w:sz w:val="24"/>
          <w:szCs w:val="24"/>
        </w:rPr>
        <w:t>Declaración juramentada del beneficiario ante notario público, en la cual conste que se encuentra instalado físicamente en la jurisdicción de cualquiera de los departamentos a los que se refiere el presente artículo y que se acoge al régimen de la ZESE.</w:t>
      </w:r>
    </w:p>
    <w:p w:rsidR="00644281" w:rsidRPr="00AB36CC" w:rsidRDefault="00644281" w:rsidP="00644281">
      <w:pPr>
        <w:numPr>
          <w:ilvl w:val="1"/>
          <w:numId w:val="3"/>
        </w:numPr>
        <w:spacing w:after="0"/>
        <w:contextualSpacing/>
        <w:jc w:val="both"/>
        <w:rPr>
          <w:rFonts w:ascii="Times New Roman" w:hAnsi="Times New Roman" w:cs="Times New Roman"/>
          <w:sz w:val="24"/>
          <w:szCs w:val="24"/>
        </w:rPr>
      </w:pPr>
      <w:r w:rsidRPr="00AB36CC">
        <w:rPr>
          <w:rFonts w:ascii="Times New Roman" w:hAnsi="Times New Roman" w:cs="Times New Roman"/>
          <w:sz w:val="24"/>
          <w:szCs w:val="24"/>
        </w:rPr>
        <w:t>Certificado de Existencia y Representación Legal.</w:t>
      </w:r>
    </w:p>
    <w:p w:rsidR="00644281" w:rsidRPr="00AB36CC" w:rsidRDefault="00644281" w:rsidP="00644281">
      <w:pPr>
        <w:numPr>
          <w:ilvl w:val="1"/>
          <w:numId w:val="3"/>
        </w:numPr>
        <w:spacing w:after="0"/>
        <w:contextualSpacing/>
        <w:jc w:val="both"/>
        <w:rPr>
          <w:rFonts w:ascii="Times New Roman" w:hAnsi="Times New Roman" w:cs="Times New Roman"/>
          <w:sz w:val="24"/>
          <w:szCs w:val="24"/>
        </w:rPr>
      </w:pPr>
      <w:r w:rsidRPr="00AB36CC">
        <w:rPr>
          <w:rFonts w:ascii="Times New Roman" w:hAnsi="Times New Roman" w:cs="Times New Roman"/>
          <w:sz w:val="24"/>
          <w:szCs w:val="24"/>
        </w:rPr>
        <w:t>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b/>
          <w:sz w:val="24"/>
          <w:szCs w:val="24"/>
          <w:lang w:val="es-ES"/>
        </w:rPr>
        <w:t xml:space="preserve">PARÁGRAFO SEGUNDO. </w:t>
      </w:r>
      <w:r w:rsidRPr="00AB36CC">
        <w:rPr>
          <w:rFonts w:ascii="Times New Roman" w:hAnsi="Times New Roman" w:cs="Times New Roman"/>
          <w:sz w:val="24"/>
          <w:szCs w:val="24"/>
          <w:lang w:val="es-ES"/>
        </w:rPr>
        <w:t>E</w:t>
      </w:r>
      <w:r w:rsidRPr="00AB36CC">
        <w:rPr>
          <w:rFonts w:ascii="Times New Roman" w:hAnsi="Times New Roman" w:cs="Times New Roman"/>
          <w:sz w:val="24"/>
          <w:szCs w:val="24"/>
          <w:highlight w:val="yellow"/>
          <w:lang w:val="es-ES"/>
        </w:rPr>
        <w:t>l Gobierno nacional reglamentará</w:t>
      </w:r>
      <w:r w:rsidRPr="00AB36CC">
        <w:rPr>
          <w:rFonts w:ascii="Times New Roman" w:hAnsi="Times New Roman" w:cs="Times New Roman"/>
          <w:sz w:val="24"/>
          <w:szCs w:val="24"/>
          <w:lang w:val="es-ES"/>
        </w:rPr>
        <w:t xml:space="preserve">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 </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b/>
          <w:sz w:val="24"/>
          <w:szCs w:val="24"/>
          <w:lang w:val="es-ES"/>
        </w:rPr>
        <w:t xml:space="preserve">PARÁGRAFO TERCERO: </w:t>
      </w:r>
      <w:r w:rsidRPr="00AB36CC">
        <w:rPr>
          <w:rFonts w:ascii="Times New Roman" w:hAnsi="Times New Roman" w:cs="Times New Roman"/>
          <w:sz w:val="24"/>
          <w:szCs w:val="24"/>
          <w:lang w:val="es-ES"/>
        </w:rPr>
        <w:t>El presente artículo no es aplicable a las empresas dedicadas a la actividad portuaria o a las actividades de exploración y explotación de minerales e hidrocarburos.</w:t>
      </w:r>
    </w:p>
    <w:p w:rsidR="00644281" w:rsidRPr="00AB36CC" w:rsidRDefault="00644281" w:rsidP="00644281">
      <w:pPr>
        <w:spacing w:after="0"/>
        <w:jc w:val="both"/>
        <w:rPr>
          <w:rFonts w:ascii="Times New Roman" w:hAnsi="Times New Roman" w:cs="Times New Roman"/>
          <w:sz w:val="24"/>
          <w:szCs w:val="24"/>
          <w:lang w:val="es-ES"/>
        </w:rPr>
      </w:pPr>
    </w:p>
    <w:p w:rsidR="00644281" w:rsidRPr="00AB36CC" w:rsidRDefault="00644281" w:rsidP="00644281">
      <w:pPr>
        <w:spacing w:after="0"/>
        <w:jc w:val="both"/>
        <w:rPr>
          <w:rFonts w:ascii="Times New Roman" w:hAnsi="Times New Roman" w:cs="Times New Roman"/>
          <w:sz w:val="24"/>
          <w:szCs w:val="24"/>
          <w:lang w:val="es-ES"/>
        </w:rPr>
      </w:pPr>
      <w:r w:rsidRPr="00AB36CC">
        <w:rPr>
          <w:rFonts w:ascii="Times New Roman" w:hAnsi="Times New Roman" w:cs="Times New Roman"/>
          <w:b/>
          <w:sz w:val="24"/>
          <w:szCs w:val="24"/>
          <w:lang w:val="es-ES"/>
        </w:rPr>
        <w:t>PARÁGRAFO CUARTO:</w:t>
      </w:r>
      <w:r w:rsidRPr="00AB36CC">
        <w:rPr>
          <w:rFonts w:ascii="Times New Roman" w:hAnsi="Times New Roman" w:cs="Times New Roman"/>
          <w:sz w:val="24"/>
          <w:szCs w:val="24"/>
          <w:lang w:val="es-ES"/>
        </w:rPr>
        <w:t xml:space="preserve"> El presente artículo no es aplicable a las sociedades comerciales existentes que trasladen su domicilio fiscal a cualquiera de los Municipios pertenecientes a los Departamentos de que trata este artículo. </w:t>
      </w:r>
    </w:p>
    <w:p w:rsidR="00644281" w:rsidRPr="00AB36CC" w:rsidRDefault="00644281" w:rsidP="00644281">
      <w:pPr>
        <w:pStyle w:val="Prrafodelista"/>
        <w:spacing w:afterLines="20" w:after="48" w:line="240" w:lineRule="auto"/>
        <w:ind w:left="360"/>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lang w:val="es-CO"/>
        </w:rPr>
        <w:t>ARTÍCULO 273º. BIENES QUE NO CAUSAN EL IMPUESTO.</w:t>
      </w:r>
      <w:r w:rsidRPr="00AB36CC">
        <w:rPr>
          <w:rFonts w:ascii="Times New Roman" w:hAnsi="Times New Roman" w:cs="Times New Roman"/>
          <w:sz w:val="24"/>
          <w:szCs w:val="24"/>
          <w:lang w:val="es-CO"/>
        </w:rPr>
        <w:t xml:space="preserve"> Modifíquese el numeral 13 del artículo 424 del Estatuto Tributario, el cual 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13. El consumo humano y animal, vestuario, elementos de aseo y medicamentos para uso humano o veterinario, materiales de construcción que se introduzcan y comercialicen a los departamentos de Amazonas, Guainía, Guaviare, Vaupés y Vichada, siempre y cuando se destinen exclusivamente al consumo dentro del mismo departamento. </w:t>
      </w:r>
      <w:r w:rsidRPr="00AB36CC">
        <w:rPr>
          <w:rFonts w:ascii="Times New Roman" w:hAnsi="Times New Roman" w:cs="Times New Roman"/>
          <w:sz w:val="24"/>
          <w:szCs w:val="24"/>
          <w:highlight w:val="yellow"/>
        </w:rPr>
        <w:t>El Gobierno nacional reglamentará la materia para garantizar que la exclusión del IVA se aplique en las ventas al consumidor final.</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sz w:val="24"/>
          <w:szCs w:val="24"/>
        </w:rPr>
        <w:lastRenderedPageBreak/>
        <w:t>ART</w:t>
      </w:r>
      <w:r w:rsidRPr="00AB36CC">
        <w:rPr>
          <w:rFonts w:ascii="Times New Roman" w:hAnsi="Times New Roman" w:cs="Times New Roman"/>
          <w:b/>
          <w:sz w:val="24"/>
          <w:szCs w:val="24"/>
          <w:lang w:val="es-ES"/>
        </w:rPr>
        <w:t>Í</w:t>
      </w:r>
      <w:r w:rsidRPr="00AB36CC">
        <w:rPr>
          <w:rFonts w:ascii="Times New Roman" w:hAnsi="Times New Roman" w:cs="Times New Roman"/>
          <w:b/>
          <w:sz w:val="24"/>
          <w:szCs w:val="24"/>
        </w:rPr>
        <w:t xml:space="preserve">CULO </w:t>
      </w:r>
      <w:r w:rsidRPr="00AB36CC">
        <w:rPr>
          <w:rFonts w:ascii="Times New Roman" w:hAnsi="Times New Roman" w:cs="Times New Roman"/>
          <w:b/>
          <w:sz w:val="24"/>
          <w:szCs w:val="24"/>
          <w:lang w:val="es-ES"/>
        </w:rPr>
        <w:t>274º</w:t>
      </w:r>
      <w:r w:rsidRPr="00AB36CC">
        <w:rPr>
          <w:rFonts w:ascii="Times New Roman" w:hAnsi="Times New Roman" w:cs="Times New Roman"/>
          <w:b/>
          <w:sz w:val="24"/>
          <w:szCs w:val="24"/>
        </w:rPr>
        <w:t>. BIENES QUE SE ENCUENTRAN EXENTOS DEL IMPUESTO</w:t>
      </w:r>
      <w:r w:rsidRPr="00AB36CC">
        <w:rPr>
          <w:rFonts w:ascii="Times New Roman" w:hAnsi="Times New Roman" w:cs="Times New Roman"/>
          <w:sz w:val="24"/>
          <w:szCs w:val="24"/>
        </w:rPr>
        <w:t xml:space="preserve">. Adiciónese el numeral 6 al artículo 477 del Estatuto Tributario, el </w:t>
      </w:r>
      <w:r w:rsidRPr="00AB36CC">
        <w:rPr>
          <w:rFonts w:ascii="Times New Roman" w:hAnsi="Times New Roman" w:cs="Times New Roman"/>
          <w:sz w:val="24"/>
          <w:szCs w:val="24"/>
          <w:lang w:val="es-CO"/>
        </w:rPr>
        <w:t>cual 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6. 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 También estarán exentos los bienes indicados anteriormente que se importen al territorio aduanero nacional y que se destinen posteriormente exclusivamente a estos departamentos.</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la materia para garantizar que la extensión del IVA se aplique en las ventas al consumidor final.</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pStyle w:val="Prrafodelista"/>
        <w:numPr>
          <w:ilvl w:val="0"/>
          <w:numId w:val="2"/>
        </w:numPr>
        <w:spacing w:afterLines="20" w:after="48" w:line="240" w:lineRule="auto"/>
        <w:jc w:val="both"/>
        <w:rPr>
          <w:rFonts w:ascii="Times New Roman" w:hAnsi="Times New Roman" w:cs="Times New Roman"/>
          <w:sz w:val="24"/>
          <w:szCs w:val="24"/>
          <w:lang w:val="es-CO"/>
        </w:rPr>
      </w:pPr>
      <w:r w:rsidRPr="00AB36CC">
        <w:rPr>
          <w:rFonts w:ascii="Times New Roman" w:hAnsi="Times New Roman" w:cs="Times New Roman"/>
          <w:b/>
          <w:bCs/>
          <w:sz w:val="24"/>
          <w:szCs w:val="24"/>
          <w:lang w:val="es-CO"/>
        </w:rPr>
        <w:t>ARTÍCULO 278º. CESIÓN A TÍTULO GRATUITO O ENAJENACIÓN DE BIENES FISCALES</w:t>
      </w:r>
      <w:r w:rsidRPr="00AB36CC">
        <w:rPr>
          <w:rFonts w:ascii="Times New Roman" w:hAnsi="Times New Roman" w:cs="Times New Roman"/>
          <w:sz w:val="24"/>
          <w:szCs w:val="24"/>
          <w:lang w:val="es-CO"/>
        </w:rPr>
        <w:t>. Modifíquese el artículo 14 de la Ley 708 de 2001, el cual quedará así:</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 xml:space="preserve">ARTÍCULO 14. CESIÓN A TÍTULO GRATUITO O ENAJENACIÓN DE DOMINIO DE BIENES FISCALES. Las entidades públicas podrán transferir mediante cesión a título gratuito la propiedad de los bienes inmuebles fiscales ocupados ilegalmente con mejoras y/o construcciones de destinación económica habitacional, siempre y cuando la ocupación ilegal haya </w:t>
      </w:r>
      <w:r w:rsidRPr="00AB36CC">
        <w:rPr>
          <w:rFonts w:ascii="Times New Roman" w:eastAsiaTheme="minorEastAsia" w:hAnsi="Times New Roman" w:cs="Times New Roman"/>
          <w:bCs/>
          <w:kern w:val="24"/>
          <w:sz w:val="24"/>
          <w:szCs w:val="24"/>
          <w:lang w:eastAsia="es-CO"/>
        </w:rPr>
        <w:t xml:space="preserve">sido efectuada por un hogar que cumpla con las condiciones para ser beneficiario del subsidio de vivienda de interés social y haya </w:t>
      </w:r>
      <w:r w:rsidRPr="00AB36CC">
        <w:rPr>
          <w:rFonts w:ascii="Times New Roman" w:hAnsi="Times New Roman" w:cs="Times New Roman"/>
          <w:sz w:val="24"/>
          <w:szCs w:val="24"/>
        </w:rPr>
        <w:t>ocurrido de manera ininterrumpida con mínimo diez (10) años de anterioridad al inicio del procedimiento administrativo. La cesión gratuita se efectuará mediante resolución administrativa, la cual constituirá título de dominio y una vez inscrita en la correspondiente Oficina de Registro de Instrumentos Públicos, será plena prueba de la propiedad.</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En ningún caso procederá la cesión anterior tratándose de inmuebles con mejoras construidas sobre bienes de uso público o destinados a la salud y a la educación. Tampoco procederá cuando se trate de inmuebles ubicados en zonas insalubres o zonas de alto riesgo no mitigable, de conformidad con las disposiciones locales sobre la materia.</w:t>
      </w:r>
    </w:p>
    <w:p w:rsidR="002167DE" w:rsidRPr="00AB36CC" w:rsidRDefault="002167DE" w:rsidP="002167DE">
      <w:pPr>
        <w:spacing w:afterLines="20" w:after="48" w:line="240" w:lineRule="auto"/>
        <w:jc w:val="both"/>
        <w:rPr>
          <w:rFonts w:ascii="Times New Roman" w:hAnsi="Times New Roman" w:cs="Times New Roman"/>
          <w:b/>
          <w:bCs/>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 xml:space="preserve">PARÁGRAFO 1. </w:t>
      </w:r>
      <w:r w:rsidRPr="00AB36CC">
        <w:rPr>
          <w:rFonts w:ascii="Times New Roman" w:hAnsi="Times New Roman" w:cs="Times New Roman"/>
          <w:sz w:val="24"/>
          <w:szCs w:val="24"/>
        </w:rPr>
        <w:t xml:space="preserve">Para bienes inmuebles fiscales ocupados ilegalmente con mejoras que no cuenten con destinación económica habitacional, procederá la enajenación directa del predio fiscal por su valor catastral vigente a la fecha de la oferta. </w:t>
      </w:r>
      <w:r w:rsidRPr="00AB36CC">
        <w:rPr>
          <w:rFonts w:ascii="Times New Roman" w:hAnsi="Times New Roman" w:cs="Times New Roman"/>
          <w:sz w:val="24"/>
          <w:szCs w:val="24"/>
          <w:highlight w:val="yellow"/>
        </w:rPr>
        <w:t>El Gobierno nacional reglamentará la materia.</w:t>
      </w:r>
    </w:p>
    <w:p w:rsidR="002167DE" w:rsidRPr="00AB36CC" w:rsidRDefault="002167DE" w:rsidP="002167DE">
      <w:pPr>
        <w:spacing w:afterLines="20" w:after="48" w:line="240" w:lineRule="auto"/>
        <w:jc w:val="both"/>
        <w:rPr>
          <w:rFonts w:ascii="Times New Roman" w:hAnsi="Times New Roman" w:cs="Times New Roman"/>
          <w:b/>
          <w:bCs/>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t xml:space="preserve">PARÁGRAFO 2. </w:t>
      </w:r>
      <w:r w:rsidRPr="00AB36CC">
        <w:rPr>
          <w:rFonts w:ascii="Times New Roman" w:hAnsi="Times New Roman" w:cs="Times New Roman"/>
          <w:sz w:val="24"/>
          <w:szCs w:val="24"/>
        </w:rPr>
        <w:t>Para los procesos de cesión a título gratuito o enajenación de dominio de bienes fiscales, no aplicarán las restricciones de transferencia de derecho real o aquella que exige la residencia transcurridos diez (10) años desde la fecha de la transferencia, establecidas en el artículo 21 de la Ley 1537 de 2012.</w:t>
      </w:r>
    </w:p>
    <w:p w:rsidR="002167DE" w:rsidRPr="00AB36CC" w:rsidRDefault="002167DE" w:rsidP="002167DE">
      <w:pPr>
        <w:spacing w:afterLines="20" w:after="48" w:line="240" w:lineRule="auto"/>
        <w:jc w:val="both"/>
        <w:rPr>
          <w:rFonts w:ascii="Times New Roman" w:hAnsi="Times New Roman" w:cs="Times New Roman"/>
          <w:b/>
          <w:bCs/>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bCs/>
          <w:sz w:val="24"/>
          <w:szCs w:val="24"/>
        </w:rPr>
        <w:lastRenderedPageBreak/>
        <w:t>PARÁGRAFO 3</w:t>
      </w:r>
      <w:r w:rsidRPr="00AB36CC">
        <w:rPr>
          <w:rFonts w:ascii="Times New Roman" w:hAnsi="Times New Roman" w:cs="Times New Roman"/>
          <w:sz w:val="24"/>
          <w:szCs w:val="24"/>
        </w:rPr>
        <w:t>. En las resoluciones administrativas de transferencia mediante cesión a título gratuito, se constituirá patrimonio de familia inembargable.</w:t>
      </w:r>
    </w:p>
    <w:p w:rsidR="002167DE" w:rsidRPr="00AB36CC" w:rsidRDefault="002167DE"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4.</w:t>
      </w:r>
      <w:r w:rsidRPr="00AB36CC">
        <w:rPr>
          <w:rFonts w:ascii="Times New Roman" w:hAnsi="Times New Roman" w:cs="Times New Roman"/>
          <w:sz w:val="24"/>
          <w:szCs w:val="24"/>
        </w:rPr>
        <w:t xml:space="preserve"> La cesión de la que trata el presente artículo solo procederá siempre y cuando el beneficiario asuma y acredite el cumplimiento de las obligaciones fiscales pendientes de pago con la entidad territorial, generadas por el inmueble a titular por concepto de impuesto predial.</w:t>
      </w: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297°. MATRIZ ENERGÉTICA.</w:t>
      </w:r>
      <w:r w:rsidRPr="00AB36CC">
        <w:rPr>
          <w:rFonts w:ascii="Times New Roman" w:hAnsi="Times New Roman" w:cs="Times New Roman"/>
          <w:sz w:val="24"/>
          <w:szCs w:val="24"/>
        </w:rPr>
        <w:t xml:space="preserve"> En cumplimiento del objetivo de contar con una matriz energética complementaria, resiliente y comprometida con la reducción de emisiones de carbono, los agentes comercializadores del Mercado de Energía Mayorista estarán obligados a comprar energía eléctrica proveniente de fuentes no convencionales de energía renovable como parte de su portafolio de compras de energía.</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Ministerio de Minas y Energía, o la entidad a la que este delegue, reglamentará</w:t>
      </w:r>
      <w:r w:rsidRPr="00AB36CC">
        <w:rPr>
          <w:rFonts w:ascii="Times New Roman" w:hAnsi="Times New Roman" w:cs="Times New Roman"/>
          <w:sz w:val="24"/>
          <w:szCs w:val="24"/>
        </w:rPr>
        <w:t xml:space="preserve"> mediante resolución el alcance de la obligación establecida en el presente artículo, así como los mecanismos de seguimiento y control, sin perjuicio de la función sancionatoria de la Superintendencia de Servicios Públicos Domiciliarios – SSPD. La obligación de que trata el presente artículo terminará una vez se cumplan las metas establecidas por el Ministerio de Minas y Energía en la reglamentación que esta entidad para tal efecto.</w:t>
      </w: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0"/>
        <w:jc w:val="both"/>
        <w:rPr>
          <w:rFonts w:ascii="Times New Roman" w:hAnsi="Times New Roman" w:cs="Times New Roman"/>
          <w:b/>
          <w:sz w:val="24"/>
          <w:szCs w:val="24"/>
          <w:lang w:val="es-ES"/>
        </w:rPr>
      </w:pPr>
      <w:r w:rsidRPr="00AB36CC">
        <w:rPr>
          <w:rFonts w:ascii="Times New Roman" w:hAnsi="Times New Roman" w:cs="Times New Roman"/>
          <w:b/>
          <w:sz w:val="24"/>
          <w:szCs w:val="24"/>
        </w:rPr>
        <w:t xml:space="preserve">ARTÍCULO </w:t>
      </w:r>
      <w:r w:rsidRPr="00AB36CC">
        <w:rPr>
          <w:rFonts w:ascii="Times New Roman" w:hAnsi="Times New Roman" w:cs="Times New Roman"/>
          <w:b/>
          <w:sz w:val="24"/>
          <w:szCs w:val="24"/>
          <w:lang w:val="es-ES"/>
        </w:rPr>
        <w:t>299º</w:t>
      </w:r>
      <w:r w:rsidRPr="00AB36CC">
        <w:rPr>
          <w:rFonts w:ascii="Times New Roman" w:hAnsi="Times New Roman" w:cs="Times New Roman"/>
          <w:b/>
          <w:sz w:val="24"/>
          <w:szCs w:val="24"/>
        </w:rPr>
        <w:t xml:space="preserve">. EQUIDAD REGIONAL EN LA PRESTACIÓN DE LOS SERVICIOS DE ACUEDUCTO Y ALCANTARILLADO. </w:t>
      </w:r>
      <w:r w:rsidRPr="00AB36CC">
        <w:rPr>
          <w:rFonts w:ascii="Times New Roman" w:hAnsi="Times New Roman" w:cs="Times New Roman"/>
          <w:sz w:val="24"/>
          <w:szCs w:val="24"/>
        </w:rPr>
        <w:t>El Ministerio de Vivienda, Ciudad y Territorio solicitará a la Comisión de Regulación de Agua Potable y Saneamiento Básico el inicio de una actuación administrativa en el marco de lo establecido en el numeral 14 del artículo 73 de la Ley 142 de 1994, cuando cuente con estudios que indiquen que es necesario para garantizar condiciones de equidad regional en la prestación de los servicios públicos de acueducto y/o alcantarillado de dos o más municipios, orientada a incrementar la cobertura, disminuir los costos en la prestación o mejorar la calidad.</w:t>
      </w:r>
      <w:r w:rsidRPr="00AB36CC">
        <w:rPr>
          <w:rFonts w:ascii="Times New Roman" w:hAnsi="Times New Roman" w:cs="Times New Roman"/>
          <w:sz w:val="24"/>
          <w:szCs w:val="24"/>
          <w:lang w:val="es-ES"/>
        </w:rPr>
        <w:t xml:space="preserve"> </w:t>
      </w:r>
    </w:p>
    <w:p w:rsidR="00644281" w:rsidRPr="00AB36CC" w:rsidRDefault="00644281" w:rsidP="00644281">
      <w:pPr>
        <w:spacing w:after="0"/>
        <w:jc w:val="both"/>
        <w:rPr>
          <w:rFonts w:ascii="Times New Roman" w:hAnsi="Times New Roman" w:cs="Times New Roman"/>
          <w:sz w:val="24"/>
          <w:szCs w:val="24"/>
        </w:rPr>
      </w:pPr>
    </w:p>
    <w:p w:rsidR="00644281" w:rsidRPr="00AB36CC" w:rsidRDefault="00644281" w:rsidP="00644281">
      <w:pPr>
        <w:spacing w:after="0"/>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 la oportunidad</w:t>
      </w:r>
      <w:r w:rsidRPr="00AB36CC">
        <w:rPr>
          <w:rFonts w:ascii="Times New Roman" w:hAnsi="Times New Roman" w:cs="Times New Roman"/>
          <w:sz w:val="24"/>
          <w:szCs w:val="24"/>
        </w:rPr>
        <w:t xml:space="preserve">, alcance y contenido de los estudios que deben soportar dicha solicitud, y definirá los criterios de participación accionaria en la creación de nuevas empresas. </w:t>
      </w:r>
    </w:p>
    <w:p w:rsidR="00644281" w:rsidRPr="00AB36CC" w:rsidRDefault="00644281" w:rsidP="00644281">
      <w:pPr>
        <w:pStyle w:val="Prrafodelista"/>
        <w:spacing w:afterLines="20" w:after="48" w:line="240" w:lineRule="auto"/>
        <w:ind w:left="360"/>
        <w:jc w:val="both"/>
        <w:rPr>
          <w:rFonts w:ascii="Times New Roman" w:hAnsi="Times New Roman" w:cs="Times New Roman"/>
          <w:sz w:val="24"/>
          <w:szCs w:val="24"/>
        </w:rPr>
      </w:pP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ARTÍCULO 311°. MEDIDAS DE SOSTENIBILIDAD FINANCIERA DEL FONDO EMPRESARIAL.</w:t>
      </w:r>
      <w:r w:rsidRPr="00AB36CC">
        <w:rPr>
          <w:rFonts w:ascii="Times New Roman" w:hAnsi="Times New Roman" w:cs="Times New Roman"/>
          <w:sz w:val="24"/>
          <w:szCs w:val="24"/>
        </w:rPr>
        <w:t xml:space="preserve"> Autorícese a la Nación para que directa o indirectamente adopte medidas de financiamiento al Fondo Empresarial de la SSPD, incluyendo créditos y garantías, los cuales podrán ser superiores a un año. No se requerirá la constitución de garantías ni contragarantías cuando la Nación otorgue estos créditos o garantías, y las operaciones estarán exentas de los aportes al Fondo de Contingencias creado por Ley 448 </w:t>
      </w:r>
      <w:r w:rsidRPr="00AB36CC">
        <w:rPr>
          <w:rFonts w:ascii="Times New Roman" w:hAnsi="Times New Roman" w:cs="Times New Roman"/>
          <w:sz w:val="24"/>
          <w:szCs w:val="24"/>
        </w:rPr>
        <w:lastRenderedPageBreak/>
        <w:t xml:space="preserve">de 1998.  Los términos para desarrollar estas autorizaciones se rigen por lo dispuesto en este Capítulo.  </w:t>
      </w:r>
      <w:r w:rsidRPr="00AB36CC">
        <w:rPr>
          <w:rFonts w:ascii="Times New Roman" w:hAnsi="Times New Roman" w:cs="Times New Roman"/>
          <w:sz w:val="24"/>
          <w:szCs w:val="24"/>
          <w:highlight w:val="yellow"/>
        </w:rPr>
        <w:t>El Gobierno Nacional reglamentará la materia.</w:t>
      </w:r>
      <w:r w:rsidRPr="00AB36CC">
        <w:rPr>
          <w:rFonts w:ascii="Times New Roman" w:hAnsi="Times New Roman" w:cs="Times New Roman"/>
          <w:sz w:val="24"/>
          <w:szCs w:val="24"/>
        </w:rPr>
        <w:t xml:space="preserve"> </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w:t>
      </w:r>
      <w:r w:rsidRPr="00AB36CC">
        <w:rPr>
          <w:rFonts w:ascii="Times New Roman" w:hAnsi="Times New Roman" w:cs="Times New Roman"/>
          <w:sz w:val="24"/>
          <w:szCs w:val="24"/>
        </w:rPr>
        <w:t>. Harán parte de las medidas autorizadas de sostenibilidad del Fondo Empresarial, la provisión de recursos de la Nación y otras entidades estatales con recursos líquidos y en especie (tales como acciones), incluyendo sus frutos.</w:t>
      </w: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2167DE">
      <w:pPr>
        <w:spacing w:afterLines="20" w:after="48" w:line="240" w:lineRule="auto"/>
        <w:jc w:val="both"/>
        <w:rPr>
          <w:rFonts w:ascii="Times New Roman" w:hAnsi="Times New Roman" w:cs="Times New Roman"/>
          <w:sz w:val="24"/>
          <w:szCs w:val="24"/>
        </w:rPr>
      </w:pPr>
    </w:p>
    <w:p w:rsidR="00644281" w:rsidRPr="00AB36CC" w:rsidRDefault="00644281" w:rsidP="00644281">
      <w:pPr>
        <w:pStyle w:val="Prrafodelista"/>
        <w:numPr>
          <w:ilvl w:val="0"/>
          <w:numId w:val="2"/>
        </w:num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ARTICULO 315°. TÉRMINOS Y CONDICIONES DE LAS MEDIDAS DE SOSTENIBILIDAD.</w:t>
      </w:r>
      <w:r w:rsidRPr="00AB36CC">
        <w:rPr>
          <w:rFonts w:ascii="Times New Roman" w:hAnsi="Times New Roman" w:cs="Times New Roman"/>
          <w:sz w:val="24"/>
          <w:szCs w:val="24"/>
        </w:rPr>
        <w:t xml:space="preserve">  Como contraprestación por la asunción de los pasivos la Nación – Ministerio de Hacienda y Crédito Público directa o indirectamente adquirirá una o más cuentas por cobrar a cargo de Electrificadora del Caribe S.A. E.S.P. El CONPES determinará: a) el monto de las cuentas por cobrar con base en el concepto previo emitido por la Dirección General de Regulación Económica de la Seguridad Social del MHCP, a partir de la información que reciba del agente interventor de </w:t>
      </w:r>
      <w:proofErr w:type="spellStart"/>
      <w:r w:rsidRPr="00AB36CC">
        <w:rPr>
          <w:rFonts w:ascii="Times New Roman" w:hAnsi="Times New Roman" w:cs="Times New Roman"/>
          <w:sz w:val="24"/>
          <w:szCs w:val="24"/>
        </w:rPr>
        <w:t>Electricaribe</w:t>
      </w:r>
      <w:proofErr w:type="spellEnd"/>
      <w:r w:rsidRPr="00AB36CC">
        <w:rPr>
          <w:rFonts w:ascii="Times New Roman" w:hAnsi="Times New Roman" w:cs="Times New Roman"/>
          <w:sz w:val="24"/>
          <w:szCs w:val="24"/>
        </w:rPr>
        <w:t xml:space="preserve"> S.A. E.S.P., en cuanto al pasivo pensional y al pasivo prestacional, y de la SSPD en cuanto al pasivo asociado al Fondo Empresarial. b) los mecanismos para actualizar dichos montos hasta la fecha efectiva de la asunción del pasivo previsto en este Capítulo. </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highlight w:val="yellow"/>
        </w:rPr>
        <w:t>El Gobierno nacional reglamentará</w:t>
      </w:r>
      <w:r w:rsidRPr="00AB36CC">
        <w:rPr>
          <w:rFonts w:ascii="Times New Roman" w:hAnsi="Times New Roman" w:cs="Times New Roman"/>
          <w:sz w:val="24"/>
          <w:szCs w:val="24"/>
        </w:rPr>
        <w:t xml:space="preserve"> los términos y condiciones de la asunción de pasivos y aquellos aspectos conexos de la vinculación de capital privado, público o mixto, a través de uno o varios oferentes, a la solución estructural de la prestación del servicio público de energía eléctrica en la Costa Caribe en el marco del Artículo 1 de este Capítulo. La eventual insuficiencia de las fuentes de pago de las deudas de Electrificadora del Caribe S.A. E.S.P con la Nación o el Fondo Empresarial, se entenderán como gastos necesarios para asegurar la prestación eficiente del servicio público de distribución y comercialización de electricidad en la Costa Caribe del país, en consecuencia, no constituirán detrimento patrimonial.</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Los documentos relacionados con la asunción de la deuda y el desarrollo del objeto de esta ley inciden en la estabilidad macroeconómica y financiera del país y se considerarán estudios técnicos de valoración de los activos de la Nación. En caso de que la asunción de los pasivos de los que trata el artículo anterior, se de en virtud de un proceso de vinculación de capital privado, público o mixto, el Consejo de Ministros o una comisión conformada por dicho órgano, podrá determinar un valor de referencia a partir del cual se habilita la transacción, que estará sujeto a reserva.  El Gobierno nacional podrá decidir que dicha reserva se levante en cualquier momento del curso del proceso de vinculación de capital, o en un momento posterior.</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sz w:val="24"/>
          <w:szCs w:val="24"/>
        </w:rPr>
        <w:t>La cuenta por cobrar que corresponda al pasivo pensional y al pasivo prestacional tendrá prelación sobre la parte de la cuenta por cobrar que corresponda al pasivo asociado al Fondo Empresarial. Por tratarse de medidas de salvamiento, estas cuentas por cobrar tendrán prelación en su pago sobre todos los pasivos a cargo de Electrificadora del Caribe S.A. E.S.P.</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lastRenderedPageBreak/>
        <w:t>PARÁGRAFO PRIMERO</w:t>
      </w:r>
      <w:r w:rsidRPr="00AB36CC">
        <w:rPr>
          <w:rFonts w:ascii="Times New Roman" w:hAnsi="Times New Roman" w:cs="Times New Roman"/>
          <w:sz w:val="24"/>
          <w:szCs w:val="24"/>
        </w:rPr>
        <w:t xml:space="preserve">. Sin perjuicio de las cuentas por cobrar y las acciones indemnizatorias a las que haya lugar, una vez asumidos los pasivos, para viabilizar la sostenibilidad de las nuevas empresas prestadoras de servicios públicos, la Nación-MHCP, o quien ésta determine, será el único deudor frente a los acreedores de las deudas asumidas, sin que se predique solidaridad. </w:t>
      </w:r>
    </w:p>
    <w:p w:rsidR="00644281" w:rsidRPr="00AB36CC" w:rsidRDefault="00644281" w:rsidP="00644281">
      <w:pPr>
        <w:spacing w:afterLines="20" w:after="48" w:line="240" w:lineRule="auto"/>
        <w:jc w:val="both"/>
        <w:rPr>
          <w:rFonts w:ascii="Times New Roman" w:hAnsi="Times New Roman" w:cs="Times New Roman"/>
          <w:sz w:val="24"/>
          <w:szCs w:val="24"/>
        </w:rPr>
      </w:pPr>
    </w:p>
    <w:p w:rsidR="00644281" w:rsidRPr="00AB36CC" w:rsidRDefault="00644281" w:rsidP="00644281">
      <w:pPr>
        <w:spacing w:afterLines="20" w:after="48" w:line="240" w:lineRule="auto"/>
        <w:jc w:val="both"/>
        <w:rPr>
          <w:rFonts w:ascii="Times New Roman" w:hAnsi="Times New Roman" w:cs="Times New Roman"/>
          <w:sz w:val="24"/>
          <w:szCs w:val="24"/>
        </w:rPr>
      </w:pPr>
      <w:r w:rsidRPr="00AB36CC">
        <w:rPr>
          <w:rFonts w:ascii="Times New Roman" w:hAnsi="Times New Roman" w:cs="Times New Roman"/>
          <w:b/>
          <w:sz w:val="24"/>
          <w:szCs w:val="24"/>
        </w:rPr>
        <w:t>PARÁGRAFO SEGUNDO</w:t>
      </w:r>
      <w:r w:rsidRPr="00AB36CC">
        <w:rPr>
          <w:rFonts w:ascii="Times New Roman" w:hAnsi="Times New Roman" w:cs="Times New Roman"/>
          <w:sz w:val="24"/>
          <w:szCs w:val="24"/>
        </w:rPr>
        <w:t xml:space="preserve">. El reconocimiento y pago de los derechos pensionales y prestacionales que sea asumido directa o indirectamente por la Nación de conformidad con esta Ley, seguirán rigiéndose por las normas vigentes sobre la materia. En todo caso para garantizar el derecho fundamental a la seguridad social y la sostenibilidad del Fondo Empresarial, la Nación-MHCP será el garante subsidiario de dichos pasivos. </w:t>
      </w:r>
    </w:p>
    <w:p w:rsidR="00644281" w:rsidRPr="00AB36CC" w:rsidRDefault="00644281" w:rsidP="002167DE">
      <w:pPr>
        <w:spacing w:afterLines="20" w:after="48" w:line="240" w:lineRule="auto"/>
        <w:jc w:val="both"/>
        <w:rPr>
          <w:rFonts w:ascii="Times New Roman" w:hAnsi="Times New Roman" w:cs="Times New Roman"/>
          <w:sz w:val="24"/>
          <w:szCs w:val="24"/>
        </w:rPr>
      </w:pPr>
    </w:p>
    <w:p w:rsidR="002167DE" w:rsidRPr="00AB36CC" w:rsidRDefault="002167DE" w:rsidP="002167DE">
      <w:pPr>
        <w:jc w:val="center"/>
        <w:rPr>
          <w:rFonts w:ascii="Times New Roman" w:hAnsi="Times New Roman" w:cs="Times New Roman"/>
          <w:sz w:val="24"/>
          <w:szCs w:val="24"/>
        </w:rPr>
      </w:pPr>
    </w:p>
    <w:sectPr w:rsidR="002167DE" w:rsidRPr="00AB3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4E2C"/>
    <w:multiLevelType w:val="hybridMultilevel"/>
    <w:tmpl w:val="FC32BBA2"/>
    <w:lvl w:ilvl="0" w:tplc="E95AE5BA">
      <w:start w:val="1"/>
      <w:numFmt w:val="lowerLetter"/>
      <w:lvlText w:val="%1)"/>
      <w:lvlJc w:val="left"/>
      <w:pPr>
        <w:ind w:left="720" w:hanging="360"/>
      </w:pPr>
      <w:rPr>
        <w:b w:val="0"/>
      </w:rPr>
    </w:lvl>
    <w:lvl w:ilvl="1" w:tplc="251060AC">
      <w:start w:val="1"/>
      <w:numFmt w:val="decimal"/>
      <w:lvlText w:val="%2."/>
      <w:lvlJc w:val="left"/>
      <w:pPr>
        <w:ind w:left="1440" w:hanging="360"/>
      </w:pPr>
      <w:rPr>
        <w:rFonts w:ascii="Arial" w:eastAsia="Times New Roman" w:hAnsi="Arial"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0D5837"/>
    <w:multiLevelType w:val="hybridMultilevel"/>
    <w:tmpl w:val="C9986A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AC158EC"/>
    <w:multiLevelType w:val="hybridMultilevel"/>
    <w:tmpl w:val="410A75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AB31682"/>
    <w:multiLevelType w:val="hybridMultilevel"/>
    <w:tmpl w:val="783C1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DE"/>
    <w:rsid w:val="001B12E0"/>
    <w:rsid w:val="001F2362"/>
    <w:rsid w:val="002167DE"/>
    <w:rsid w:val="00370BA0"/>
    <w:rsid w:val="00644281"/>
    <w:rsid w:val="009135D3"/>
    <w:rsid w:val="00AB36CC"/>
    <w:rsid w:val="00F2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1D2"/>
  <w15:chartTrackingRefBased/>
  <w15:docId w15:val="{BF2D426D-A80B-42D3-B4A3-295FF8D9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67DE"/>
    <w:rPr>
      <w:color w:val="0563C1" w:themeColor="hyperlink"/>
      <w:u w:val="single"/>
    </w:rPr>
  </w:style>
  <w:style w:type="paragraph" w:styleId="Prrafodelista">
    <w:name w:val="List Paragraph"/>
    <w:basedOn w:val="Normal"/>
    <w:uiPriority w:val="34"/>
    <w:qFormat/>
    <w:rsid w:val="002167DE"/>
    <w:pPr>
      <w:ind w:left="720"/>
      <w:contextualSpacing/>
    </w:pPr>
    <w:rPr>
      <w:rFonts w:ascii="Arial" w:eastAsia="Arial" w:hAnsi="Arial" w:cs="Arial"/>
      <w:lang w:val="uz-Cyrl-UZ" w:eastAsia="es-ES"/>
    </w:rPr>
  </w:style>
  <w:style w:type="paragraph" w:styleId="NormalWeb">
    <w:name w:val="Normal (Web)"/>
    <w:basedOn w:val="Normal"/>
    <w:uiPriority w:val="99"/>
    <w:unhideWhenUsed/>
    <w:rsid w:val="009135D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370B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decreto_0111_1996_pr002.html" TargetMode="External"/><Relationship Id="rId5" Type="http://schemas.openxmlformats.org/officeDocument/2006/relationships/hyperlink" Target="http://www.secretariasenado.gov.co/senado/basedoc/ley_0226_199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13222</Words>
  <Characters>72722</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Johan Sebastian Mosquera Ber</cp:lastModifiedBy>
  <cp:revision>3</cp:revision>
  <cp:lastPrinted>2019-04-24T17:10:00Z</cp:lastPrinted>
  <dcterms:created xsi:type="dcterms:W3CDTF">2019-04-24T17:12:00Z</dcterms:created>
  <dcterms:modified xsi:type="dcterms:W3CDTF">2019-04-24T17:13:00Z</dcterms:modified>
</cp:coreProperties>
</file>